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bottomFromText="160" w:vertAnchor="text" w:horzAnchor="margin" w:tblpY="436"/>
        <w:tblW w:w="0" w:type="auto"/>
        <w:tblBorders>
          <w:top w:val="single" w:sz="12" w:space="0" w:color="FF6600"/>
          <w:left w:val="single" w:sz="12" w:space="0" w:color="FF6600"/>
          <w:bottom w:val="single" w:sz="4" w:space="0" w:color="auto"/>
          <w:right w:val="single" w:sz="12" w:space="0" w:color="FF6600"/>
        </w:tblBorders>
        <w:tblLook w:val="04A0" w:firstRow="1" w:lastRow="0" w:firstColumn="1" w:lastColumn="0" w:noHBand="0" w:noVBand="1"/>
      </w:tblPr>
      <w:tblGrid>
        <w:gridCol w:w="945"/>
        <w:gridCol w:w="7206"/>
        <w:gridCol w:w="845"/>
      </w:tblGrid>
      <w:tr w:rsidR="004C7213" w:rsidTr="00007410">
        <w:trPr>
          <w:trHeight w:val="3242"/>
        </w:trPr>
        <w:tc>
          <w:tcPr>
            <w:tcW w:w="1293" w:type="dxa"/>
            <w:tcBorders>
              <w:top w:val="single" w:sz="12" w:space="0" w:color="FF6600"/>
              <w:left w:val="single" w:sz="12" w:space="0" w:color="FF6600"/>
              <w:bottom w:val="nil"/>
              <w:right w:val="nil"/>
            </w:tcBorders>
          </w:tcPr>
          <w:p w:rsidR="004C7213" w:rsidRDefault="004C7213" w:rsidP="00007410">
            <w:pPr>
              <w:spacing w:line="360" w:lineRule="auto"/>
              <w:jc w:val="center"/>
              <w:rPr>
                <w:rFonts w:cs="Arial"/>
                <w:b/>
              </w:rPr>
            </w:pPr>
          </w:p>
        </w:tc>
        <w:tc>
          <w:tcPr>
            <w:tcW w:w="7192" w:type="dxa"/>
            <w:tcBorders>
              <w:top w:val="single" w:sz="12" w:space="0" w:color="FF6600"/>
              <w:left w:val="nil"/>
              <w:bottom w:val="nil"/>
              <w:right w:val="nil"/>
            </w:tcBorders>
          </w:tcPr>
          <w:p w:rsidR="004C7213" w:rsidRDefault="004C7213" w:rsidP="00007410">
            <w:pPr>
              <w:spacing w:line="360" w:lineRule="auto"/>
              <w:rPr>
                <w:rFonts w:cs="Arial"/>
                <w:b/>
                <w:sz w:val="40"/>
                <w:szCs w:val="40"/>
              </w:rPr>
            </w:pPr>
            <w:r>
              <w:rPr>
                <w:rFonts w:cs="Arial"/>
                <w:b/>
                <w:sz w:val="40"/>
                <w:szCs w:val="40"/>
              </w:rPr>
              <w:t xml:space="preserve">         BA-PHALABORWA MUNICIPALITY  </w:t>
            </w:r>
          </w:p>
          <w:p w:rsidR="004C7213" w:rsidRDefault="004C7213" w:rsidP="00007410">
            <w:pPr>
              <w:spacing w:line="360" w:lineRule="auto"/>
              <w:jc w:val="center"/>
              <w:rPr>
                <w:rFonts w:cs="Arial"/>
                <w:b/>
                <w:noProof/>
                <w:lang w:eastAsia="en-ZA"/>
              </w:rPr>
            </w:pPr>
          </w:p>
          <w:p w:rsidR="004C7213" w:rsidRDefault="004C7213" w:rsidP="00007410">
            <w:pPr>
              <w:spacing w:line="360" w:lineRule="auto"/>
              <w:jc w:val="center"/>
              <w:rPr>
                <w:rFonts w:cs="Arial"/>
                <w:b/>
                <w:noProof/>
                <w:lang w:eastAsia="en-ZA"/>
              </w:rPr>
            </w:pPr>
          </w:p>
          <w:p w:rsidR="004C7213" w:rsidRDefault="004C7213" w:rsidP="00007410">
            <w:pPr>
              <w:spacing w:line="360" w:lineRule="auto"/>
              <w:jc w:val="center"/>
              <w:rPr>
                <w:rFonts w:cs="Arial"/>
                <w:b/>
              </w:rPr>
            </w:pPr>
            <w:r>
              <w:rPr>
                <w:rFonts w:cs="Arial"/>
                <w:b/>
                <w:noProof/>
                <w:lang w:eastAsia="en-ZA"/>
              </w:rPr>
              <w:drawing>
                <wp:inline distT="0" distB="0" distL="0" distR="0" wp14:anchorId="3833CD1B" wp14:editId="365069AA">
                  <wp:extent cx="4429125" cy="31813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429125" cy="3181350"/>
                          </a:xfrm>
                          <a:prstGeom prst="rect">
                            <a:avLst/>
                          </a:prstGeom>
                          <a:noFill/>
                          <a:ln>
                            <a:noFill/>
                          </a:ln>
                        </pic:spPr>
                      </pic:pic>
                    </a:graphicData>
                  </a:graphic>
                </wp:inline>
              </w:drawing>
            </w:r>
          </w:p>
        </w:tc>
        <w:tc>
          <w:tcPr>
            <w:tcW w:w="1144" w:type="dxa"/>
            <w:tcBorders>
              <w:top w:val="single" w:sz="12" w:space="0" w:color="FF6600"/>
              <w:left w:val="nil"/>
              <w:bottom w:val="nil"/>
              <w:right w:val="single" w:sz="12" w:space="0" w:color="FF6600"/>
            </w:tcBorders>
          </w:tcPr>
          <w:p w:rsidR="004C7213" w:rsidRDefault="004C7213" w:rsidP="00007410">
            <w:pPr>
              <w:spacing w:line="360" w:lineRule="auto"/>
              <w:jc w:val="center"/>
              <w:rPr>
                <w:rFonts w:cs="Arial"/>
                <w:b/>
              </w:rPr>
            </w:pPr>
          </w:p>
        </w:tc>
      </w:tr>
      <w:tr w:rsidR="004C7213" w:rsidTr="00007410">
        <w:tc>
          <w:tcPr>
            <w:tcW w:w="1293" w:type="dxa"/>
            <w:tcBorders>
              <w:top w:val="nil"/>
              <w:left w:val="single" w:sz="12" w:space="0" w:color="FF6600"/>
              <w:bottom w:val="nil"/>
              <w:right w:val="nil"/>
            </w:tcBorders>
          </w:tcPr>
          <w:p w:rsidR="004C7213" w:rsidRDefault="004C7213" w:rsidP="00007410">
            <w:pPr>
              <w:spacing w:line="360" w:lineRule="auto"/>
              <w:jc w:val="center"/>
              <w:rPr>
                <w:rFonts w:cs="Arial"/>
                <w:b/>
              </w:rPr>
            </w:pPr>
          </w:p>
        </w:tc>
        <w:tc>
          <w:tcPr>
            <w:tcW w:w="7192" w:type="dxa"/>
            <w:tcBorders>
              <w:top w:val="nil"/>
              <w:left w:val="nil"/>
              <w:bottom w:val="nil"/>
              <w:right w:val="nil"/>
            </w:tcBorders>
          </w:tcPr>
          <w:p w:rsidR="004C7213" w:rsidRDefault="004C7213" w:rsidP="00007410">
            <w:pPr>
              <w:spacing w:line="360" w:lineRule="auto"/>
              <w:jc w:val="center"/>
              <w:rPr>
                <w:rFonts w:cs="Arial"/>
                <w:b/>
              </w:rPr>
            </w:pPr>
          </w:p>
          <w:p w:rsidR="004C7213" w:rsidRDefault="004C7213" w:rsidP="00007410">
            <w:pPr>
              <w:spacing w:line="360" w:lineRule="auto"/>
              <w:jc w:val="center"/>
              <w:rPr>
                <w:rFonts w:cs="Arial"/>
                <w:b/>
              </w:rPr>
            </w:pPr>
          </w:p>
          <w:p w:rsidR="004C7213" w:rsidRDefault="00664F31" w:rsidP="00007410">
            <w:pPr>
              <w:spacing w:line="360" w:lineRule="auto"/>
              <w:jc w:val="center"/>
              <w:rPr>
                <w:rFonts w:cs="Arial"/>
                <w:b/>
                <w:sz w:val="32"/>
                <w:szCs w:val="32"/>
              </w:rPr>
            </w:pPr>
            <w:r>
              <w:rPr>
                <w:rFonts w:cs="Arial"/>
                <w:b/>
                <w:sz w:val="32"/>
                <w:szCs w:val="32"/>
              </w:rPr>
              <w:t xml:space="preserve">Draft - </w:t>
            </w:r>
            <w:r w:rsidR="004C7213">
              <w:rPr>
                <w:rFonts w:cs="Arial"/>
                <w:b/>
                <w:sz w:val="32"/>
                <w:szCs w:val="32"/>
              </w:rPr>
              <w:t xml:space="preserve">PROPERTY RATES BY-LAW </w:t>
            </w:r>
          </w:p>
          <w:p w:rsidR="004C7213" w:rsidRDefault="00664F31" w:rsidP="00007410">
            <w:pPr>
              <w:spacing w:line="360" w:lineRule="auto"/>
              <w:jc w:val="center"/>
              <w:rPr>
                <w:rFonts w:cs="Arial"/>
                <w:b/>
              </w:rPr>
            </w:pPr>
            <w:r>
              <w:rPr>
                <w:rFonts w:cs="Arial"/>
                <w:b/>
                <w:sz w:val="32"/>
                <w:szCs w:val="32"/>
              </w:rPr>
              <w:t>2022/23</w:t>
            </w:r>
          </w:p>
        </w:tc>
        <w:tc>
          <w:tcPr>
            <w:tcW w:w="1144" w:type="dxa"/>
            <w:tcBorders>
              <w:top w:val="nil"/>
              <w:left w:val="nil"/>
              <w:bottom w:val="nil"/>
              <w:right w:val="single" w:sz="12" w:space="0" w:color="FF6600"/>
            </w:tcBorders>
          </w:tcPr>
          <w:p w:rsidR="004C7213" w:rsidRDefault="004C7213" w:rsidP="00007410">
            <w:pPr>
              <w:spacing w:line="360" w:lineRule="auto"/>
              <w:jc w:val="center"/>
              <w:rPr>
                <w:rFonts w:cs="Arial"/>
                <w:b/>
              </w:rPr>
            </w:pPr>
          </w:p>
        </w:tc>
      </w:tr>
      <w:tr w:rsidR="004C7213" w:rsidTr="00007410">
        <w:trPr>
          <w:trHeight w:val="1048"/>
        </w:trPr>
        <w:tc>
          <w:tcPr>
            <w:tcW w:w="1293" w:type="dxa"/>
            <w:tcBorders>
              <w:top w:val="nil"/>
              <w:left w:val="single" w:sz="12" w:space="0" w:color="FF6600"/>
              <w:bottom w:val="single" w:sz="4" w:space="0" w:color="auto"/>
              <w:right w:val="nil"/>
            </w:tcBorders>
          </w:tcPr>
          <w:p w:rsidR="004C7213" w:rsidRDefault="004C7213" w:rsidP="00007410">
            <w:pPr>
              <w:spacing w:line="360" w:lineRule="auto"/>
              <w:jc w:val="center"/>
              <w:rPr>
                <w:rFonts w:cs="Arial"/>
                <w:b/>
              </w:rPr>
            </w:pPr>
          </w:p>
        </w:tc>
        <w:tc>
          <w:tcPr>
            <w:tcW w:w="7192" w:type="dxa"/>
            <w:tcBorders>
              <w:top w:val="nil"/>
              <w:left w:val="nil"/>
              <w:bottom w:val="single" w:sz="4" w:space="0" w:color="auto"/>
              <w:right w:val="nil"/>
            </w:tcBorders>
          </w:tcPr>
          <w:p w:rsidR="004C7213" w:rsidRDefault="004C7213" w:rsidP="00007410">
            <w:pPr>
              <w:spacing w:line="360" w:lineRule="auto"/>
              <w:jc w:val="center"/>
              <w:rPr>
                <w:rFonts w:cs="Arial"/>
                <w:b/>
              </w:rPr>
            </w:pPr>
          </w:p>
        </w:tc>
        <w:tc>
          <w:tcPr>
            <w:tcW w:w="1144" w:type="dxa"/>
            <w:tcBorders>
              <w:top w:val="nil"/>
              <w:left w:val="nil"/>
              <w:bottom w:val="single" w:sz="4" w:space="0" w:color="auto"/>
              <w:right w:val="single" w:sz="12" w:space="0" w:color="FF6600"/>
            </w:tcBorders>
          </w:tcPr>
          <w:p w:rsidR="004C7213" w:rsidRDefault="004C7213" w:rsidP="00007410">
            <w:pPr>
              <w:spacing w:line="360" w:lineRule="auto"/>
              <w:jc w:val="center"/>
              <w:rPr>
                <w:rFonts w:cs="Arial"/>
                <w:b/>
              </w:rPr>
            </w:pPr>
          </w:p>
        </w:tc>
      </w:tr>
    </w:tbl>
    <w:p w:rsidR="004C7213" w:rsidRDefault="004C7213" w:rsidP="004C7213">
      <w:pPr>
        <w:shd w:val="clear" w:color="auto" w:fill="FFFFFF"/>
        <w:spacing w:after="192" w:line="240" w:lineRule="auto"/>
        <w:jc w:val="center"/>
        <w:outlineLvl w:val="1"/>
        <w:rPr>
          <w:rFonts w:ascii="Arial" w:eastAsia="Times New Roman" w:hAnsi="Arial" w:cs="Arial"/>
          <w:b/>
          <w:bCs/>
          <w:color w:val="333333"/>
          <w:sz w:val="29"/>
          <w:szCs w:val="29"/>
        </w:rPr>
      </w:pPr>
    </w:p>
    <w:p w:rsidR="00311BC0" w:rsidRDefault="00311BC0"/>
    <w:p w:rsidR="00310EEE" w:rsidRDefault="00310EEE">
      <w:pPr>
        <w:rPr>
          <w:b/>
        </w:rPr>
      </w:pPr>
    </w:p>
    <w:p w:rsidR="004C7213" w:rsidRDefault="004C7213">
      <w:pPr>
        <w:rPr>
          <w:b/>
        </w:rPr>
      </w:pPr>
    </w:p>
    <w:p w:rsidR="004C7213" w:rsidRDefault="004C7213">
      <w:pPr>
        <w:rPr>
          <w:b/>
        </w:rPr>
      </w:pPr>
    </w:p>
    <w:p w:rsidR="00310EEE" w:rsidRDefault="00310EEE"/>
    <w:p w:rsidR="00310EEE" w:rsidRDefault="004C7213">
      <w:r>
        <w:lastRenderedPageBreak/>
        <w:t>Ba-Phalaborwa Municipality</w:t>
      </w:r>
      <w:r w:rsidR="00310EEE">
        <w:t xml:space="preserve">, hereby, in terms of section 6 of Local </w:t>
      </w:r>
      <w:r>
        <w:t>Government:</w:t>
      </w:r>
      <w:r w:rsidR="00310EEE">
        <w:t xml:space="preserve"> Municipal Property Rates Act, 2004, has by way of </w:t>
      </w:r>
      <w:r>
        <w:t>resolution</w:t>
      </w:r>
      <w:r w:rsidR="00310EEE">
        <w:t xml:space="preserve"> adopted the Municipal Property’s Rates By- Law set out hereunder.</w:t>
      </w:r>
    </w:p>
    <w:p w:rsidR="00310EEE" w:rsidRPr="00CB18D0" w:rsidRDefault="00CB18D0">
      <w:pPr>
        <w:rPr>
          <w:b/>
        </w:rPr>
      </w:pPr>
      <w:r>
        <w:tab/>
      </w:r>
      <w:r>
        <w:tab/>
      </w:r>
      <w:r>
        <w:tab/>
        <w:t xml:space="preserve">  </w:t>
      </w:r>
      <w:r w:rsidR="004C7213" w:rsidRPr="00CB18D0">
        <w:rPr>
          <w:b/>
        </w:rPr>
        <w:t xml:space="preserve">BA-PHALABORWA </w:t>
      </w:r>
      <w:r w:rsidR="00310EEE" w:rsidRPr="00CB18D0">
        <w:rPr>
          <w:b/>
        </w:rPr>
        <w:t>MUNICIPALITY</w:t>
      </w:r>
    </w:p>
    <w:p w:rsidR="00310EEE" w:rsidRPr="00CB18D0" w:rsidRDefault="00CB18D0">
      <w:pPr>
        <w:rPr>
          <w:b/>
        </w:rPr>
      </w:pPr>
      <w:r w:rsidRPr="00CB18D0">
        <w:rPr>
          <w:b/>
        </w:rPr>
        <w:tab/>
      </w:r>
      <w:r w:rsidRPr="00CB18D0">
        <w:rPr>
          <w:b/>
        </w:rPr>
        <w:tab/>
      </w:r>
      <w:r w:rsidRPr="00CB18D0">
        <w:rPr>
          <w:b/>
        </w:rPr>
        <w:tab/>
      </w:r>
      <w:r w:rsidR="00B64895" w:rsidRPr="00CB18D0">
        <w:rPr>
          <w:b/>
        </w:rPr>
        <w:t>MUNICIPAL PROPERTY RATES BY-</w:t>
      </w:r>
      <w:r w:rsidR="00310EEE" w:rsidRPr="00CB18D0">
        <w:rPr>
          <w:b/>
        </w:rPr>
        <w:t>LAW</w:t>
      </w:r>
      <w:r w:rsidR="00B64895" w:rsidRPr="00CB18D0">
        <w:rPr>
          <w:b/>
        </w:rPr>
        <w:t>(S)</w:t>
      </w:r>
    </w:p>
    <w:p w:rsidR="00B64895" w:rsidRDefault="00B64895"/>
    <w:p w:rsidR="00B64895" w:rsidRDefault="00B64895"/>
    <w:p w:rsidR="00B64895" w:rsidRDefault="00B64895">
      <w:r>
        <w:t>PREAMBLE Section 229(1) of the Constitution requires a municipality to impose rates on Property and surcharge on fees for services provided by or on behalf of the municipality.</w:t>
      </w:r>
    </w:p>
    <w:p w:rsidR="00B64895" w:rsidRDefault="00B64895">
      <w:r>
        <w:t>AND WHEREAS section 13 of Municipal System Act read with section 162 of the Constitution require Municipality to promulgate municipal by-laws by publishing them in the gazette of relevant province.</w:t>
      </w:r>
    </w:p>
    <w:p w:rsidR="00022BC7" w:rsidRDefault="00B64895">
      <w:r>
        <w:t>AND WHEREAS Section 6 of Loc</w:t>
      </w:r>
      <w:r w:rsidR="00022BC7">
        <w:t>al Government</w:t>
      </w:r>
      <w:r>
        <w:t xml:space="preserve">: </w:t>
      </w:r>
      <w:r w:rsidR="00022BC7">
        <w:t>Municipal Property Rates of Act,</w:t>
      </w:r>
      <w:r>
        <w:t xml:space="preserve"> 2004 </w:t>
      </w:r>
      <w:r w:rsidR="00022BC7">
        <w:t>require Municipality to adopt by-laws to give effect to the implementation of its Property rates policy: the by-laws may differentiate between different categories of properties and different categories of owners of properties of liable for payment of rated;</w:t>
      </w:r>
    </w:p>
    <w:p w:rsidR="00022BC7" w:rsidRDefault="00022BC7"/>
    <w:p w:rsidR="00022BC7" w:rsidRDefault="00022BC7"/>
    <w:p w:rsidR="00022BC7" w:rsidRDefault="00022BC7"/>
    <w:p w:rsidR="00022BC7" w:rsidRDefault="00022BC7"/>
    <w:p w:rsidR="00022BC7" w:rsidRDefault="00022BC7"/>
    <w:p w:rsidR="00022BC7" w:rsidRDefault="00022BC7"/>
    <w:p w:rsidR="00022BC7" w:rsidRDefault="00022BC7"/>
    <w:p w:rsidR="00022BC7" w:rsidRDefault="00022BC7"/>
    <w:p w:rsidR="00022BC7" w:rsidRDefault="00022BC7"/>
    <w:p w:rsidR="00022BC7" w:rsidRDefault="00022BC7"/>
    <w:p w:rsidR="004C7213" w:rsidRDefault="004C7213"/>
    <w:p w:rsidR="004C7213" w:rsidRDefault="004C7213"/>
    <w:p w:rsidR="004C7213" w:rsidRDefault="004C7213"/>
    <w:p w:rsidR="004C7213" w:rsidRDefault="004C7213"/>
    <w:p w:rsidR="004C7213" w:rsidRDefault="004C7213"/>
    <w:p w:rsidR="004C7213" w:rsidRDefault="004C7213"/>
    <w:p w:rsidR="00022BC7" w:rsidRDefault="00022BC7"/>
    <w:p w:rsidR="00C5236E" w:rsidRDefault="00C5236E"/>
    <w:p w:rsidR="00604A46" w:rsidRPr="00604A46" w:rsidRDefault="00604A46" w:rsidP="00604A46">
      <w:pPr>
        <w:pStyle w:val="NoSpacing"/>
        <w:ind w:left="1418"/>
        <w:rPr>
          <w:rFonts w:ascii="Arial" w:hAnsi="Arial" w:cs="Arial"/>
          <w:bCs/>
          <w:lang w:eastAsia="en-ZA"/>
        </w:rPr>
      </w:pPr>
    </w:p>
    <w:p w:rsidR="00604A46" w:rsidRPr="00604A46" w:rsidRDefault="00604A46" w:rsidP="00604A46">
      <w:pPr>
        <w:pStyle w:val="NoSpacing"/>
        <w:numPr>
          <w:ilvl w:val="0"/>
          <w:numId w:val="2"/>
        </w:numPr>
        <w:rPr>
          <w:rFonts w:ascii="Arial" w:hAnsi="Arial" w:cs="Arial"/>
          <w:b/>
          <w:bCs/>
          <w:lang w:eastAsia="en-ZA"/>
        </w:rPr>
      </w:pPr>
      <w:r w:rsidRPr="00604A46">
        <w:rPr>
          <w:rFonts w:ascii="Arial" w:hAnsi="Arial" w:cs="Arial"/>
          <w:b/>
          <w:bCs/>
          <w:lang w:eastAsia="en-ZA"/>
        </w:rPr>
        <w:t>Purpose of the By-law</w:t>
      </w:r>
    </w:p>
    <w:p w:rsidR="00604A46" w:rsidRDefault="00604A46" w:rsidP="00604A46">
      <w:pPr>
        <w:pStyle w:val="NoSpacing"/>
        <w:ind w:left="767"/>
        <w:rPr>
          <w:rFonts w:ascii="Arial" w:hAnsi="Arial" w:cs="Arial"/>
          <w:bCs/>
          <w:lang w:eastAsia="en-ZA"/>
        </w:rPr>
      </w:pPr>
      <w:r>
        <w:rPr>
          <w:rFonts w:ascii="Arial" w:hAnsi="Arial" w:cs="Arial"/>
          <w:bCs/>
          <w:lang w:eastAsia="en-ZA"/>
        </w:rPr>
        <w:t>The purpose of the Property Rates bylaw is to give effect of the property rates policy</w:t>
      </w:r>
    </w:p>
    <w:p w:rsidR="00604A46" w:rsidRDefault="00604A46" w:rsidP="00604A46">
      <w:pPr>
        <w:pStyle w:val="NoSpacing"/>
        <w:ind w:left="767"/>
        <w:rPr>
          <w:rFonts w:ascii="Arial" w:hAnsi="Arial" w:cs="Arial"/>
          <w:bCs/>
          <w:lang w:eastAsia="en-ZA"/>
        </w:rPr>
      </w:pPr>
    </w:p>
    <w:p w:rsidR="00022BC7" w:rsidRPr="00FB1B94" w:rsidRDefault="00FB1B94" w:rsidP="00FB1B94">
      <w:pPr>
        <w:pStyle w:val="ListParagraph"/>
        <w:numPr>
          <w:ilvl w:val="0"/>
          <w:numId w:val="2"/>
        </w:numPr>
      </w:pPr>
      <w:r>
        <w:rPr>
          <w:b/>
        </w:rPr>
        <w:t>DEFINITION</w:t>
      </w:r>
    </w:p>
    <w:p w:rsidR="00C5236E" w:rsidRDefault="00C5236E" w:rsidP="00C5236E">
      <w:pPr>
        <w:pStyle w:val="CM28"/>
        <w:spacing w:after="0"/>
        <w:ind w:left="1418" w:hanging="709"/>
        <w:jc w:val="both"/>
        <w:rPr>
          <w:rFonts w:ascii="Arial" w:hAnsi="Arial" w:cs="Arial"/>
          <w:noProof/>
          <w:sz w:val="22"/>
          <w:szCs w:val="22"/>
          <w:lang w:val="en-ZA"/>
        </w:rPr>
      </w:pPr>
      <w:r w:rsidRPr="006460B0">
        <w:rPr>
          <w:rFonts w:ascii="Arial" w:hAnsi="Arial" w:cs="Arial"/>
          <w:b/>
          <w:noProof/>
          <w:sz w:val="22"/>
          <w:szCs w:val="22"/>
          <w:lang w:val="en-ZA"/>
        </w:rPr>
        <w:t>Act”</w:t>
      </w:r>
      <w:r w:rsidRPr="006460B0">
        <w:rPr>
          <w:rFonts w:ascii="Arial" w:hAnsi="Arial" w:cs="Arial"/>
          <w:noProof/>
          <w:sz w:val="22"/>
          <w:szCs w:val="22"/>
          <w:lang w:val="en-ZA"/>
        </w:rPr>
        <w:t xml:space="preserve"> means the Local Government: Municipal Property Rates Act, 2004 (No. 6 of 2004).</w:t>
      </w:r>
    </w:p>
    <w:p w:rsidR="00C5236E" w:rsidRPr="002461B7" w:rsidRDefault="00C5236E" w:rsidP="00C5236E">
      <w:pPr>
        <w:pStyle w:val="Default"/>
        <w:rPr>
          <w:lang w:val="en-ZA"/>
        </w:rPr>
      </w:pPr>
    </w:p>
    <w:p w:rsidR="00C5236E" w:rsidRPr="001B79EB" w:rsidRDefault="00C5236E" w:rsidP="00C5236E">
      <w:pPr>
        <w:pStyle w:val="CM28"/>
        <w:spacing w:after="0"/>
        <w:ind w:left="1418"/>
        <w:jc w:val="both"/>
        <w:rPr>
          <w:rFonts w:ascii="Arial" w:eastAsia="Calibri" w:hAnsi="Arial" w:cs="Arial"/>
          <w:sz w:val="22"/>
          <w:szCs w:val="22"/>
          <w:lang w:val="en-ZA"/>
        </w:rPr>
      </w:pPr>
      <w:r w:rsidRPr="001B79EB">
        <w:rPr>
          <w:rFonts w:ascii="Arial" w:eastAsia="Calibri" w:hAnsi="Arial" w:cs="Arial"/>
          <w:b/>
          <w:sz w:val="22"/>
          <w:szCs w:val="22"/>
          <w:lang w:val="en-ZA"/>
        </w:rPr>
        <w:t>“Agricultural property”</w:t>
      </w:r>
      <w:r w:rsidRPr="001B79EB">
        <w:rPr>
          <w:rFonts w:ascii="Arial" w:eastAsia="Calibri" w:hAnsi="Arial" w:cs="Arial"/>
          <w:sz w:val="22"/>
          <w:szCs w:val="22"/>
          <w:lang w:val="en-ZA"/>
        </w:rPr>
        <w:t xml:space="preserve"> means property that is used primarily for agricultural purposes but, without derogating from section 9, excludes any portion therefore that is used commercially for the hospitality of guests, and excludes the use of the property for the purpose of eco-tourism or for the trading in or hunting game</w:t>
      </w:r>
    </w:p>
    <w:p w:rsidR="00C5236E" w:rsidRPr="001B79EB" w:rsidRDefault="00C5236E" w:rsidP="00C5236E">
      <w:pPr>
        <w:pStyle w:val="CM28"/>
        <w:spacing w:after="0"/>
        <w:ind w:left="1418" w:hanging="709"/>
        <w:jc w:val="both"/>
        <w:rPr>
          <w:rFonts w:ascii="Arial" w:hAnsi="Arial" w:cs="Arial"/>
          <w:noProof/>
          <w:sz w:val="22"/>
          <w:szCs w:val="22"/>
          <w:lang w:val="en-ZA"/>
        </w:rPr>
      </w:pPr>
      <w:r w:rsidRPr="001B79EB">
        <w:rPr>
          <w:rFonts w:ascii="Arial" w:hAnsi="Arial" w:cs="Arial"/>
          <w:noProof/>
          <w:sz w:val="22"/>
          <w:szCs w:val="22"/>
          <w:lang w:val="en-ZA"/>
        </w:rPr>
        <w:t xml:space="preserve"> </w:t>
      </w:r>
    </w:p>
    <w:p w:rsidR="00C5236E" w:rsidRPr="006460B0" w:rsidRDefault="00C5236E" w:rsidP="00C5236E">
      <w:pPr>
        <w:pStyle w:val="NoSpacing"/>
        <w:ind w:left="1418"/>
        <w:rPr>
          <w:lang w:val="en-US" w:eastAsia="en-ZA"/>
        </w:rPr>
      </w:pPr>
      <w:r w:rsidRPr="001B79EB">
        <w:rPr>
          <w:b/>
          <w:bCs/>
          <w:lang w:eastAsia="en-ZA"/>
        </w:rPr>
        <w:t xml:space="preserve"> “Business Property" </w:t>
      </w:r>
      <w:r w:rsidRPr="001B79EB">
        <w:rPr>
          <w:lang w:eastAsia="en-ZA"/>
        </w:rPr>
        <w:t>means commercial or business property (also called investment or income property) and refers to buildings or land intended to generate a profit, either from capital gain or rental income.  Business property includes, but is not limited to, office buildings, medical centres, hotels, malls, retail stores, hunting and game farms as well as fillings stations.</w:t>
      </w:r>
    </w:p>
    <w:p w:rsidR="00C5236E" w:rsidRPr="006460B0" w:rsidRDefault="00C5236E" w:rsidP="00C5236E">
      <w:pPr>
        <w:pStyle w:val="NoSpacing"/>
        <w:rPr>
          <w:lang w:eastAsia="en-ZA"/>
        </w:rPr>
      </w:pPr>
    </w:p>
    <w:p w:rsidR="00C5236E" w:rsidRDefault="00C5236E" w:rsidP="00C5236E">
      <w:pPr>
        <w:pStyle w:val="NoSpacing"/>
        <w:ind w:left="1418"/>
        <w:rPr>
          <w:lang w:eastAsia="en-ZA"/>
        </w:rPr>
      </w:pPr>
      <w:r w:rsidRPr="006460B0">
        <w:rPr>
          <w:b/>
          <w:bCs/>
          <w:lang w:eastAsia="en-ZA"/>
        </w:rPr>
        <w:t xml:space="preserve">Industrial" </w:t>
      </w:r>
      <w:r w:rsidRPr="006460B0">
        <w:rPr>
          <w:lang w:eastAsia="en-ZA"/>
        </w:rPr>
        <w:t>means a branch of trade or manufacturing, production assembling or processing of finished or partially finished products from raw materials or fabricated part, on so large scale that capital and labour are significant</w:t>
      </w:r>
      <w:r>
        <w:rPr>
          <w:lang w:eastAsia="en-ZA"/>
        </w:rPr>
        <w:t>ly involved</w:t>
      </w:r>
    </w:p>
    <w:p w:rsidR="00C5236E" w:rsidRPr="006460B0" w:rsidRDefault="00C5236E" w:rsidP="00C5236E">
      <w:pPr>
        <w:ind w:left="1418" w:firstLine="22"/>
        <w:jc w:val="both"/>
        <w:rPr>
          <w:rFonts w:ascii="Arial" w:hAnsi="Arial" w:cs="Arial"/>
          <w:lang w:eastAsia="en-ZA"/>
        </w:rPr>
      </w:pPr>
    </w:p>
    <w:p w:rsidR="00C5236E" w:rsidRPr="006460B0" w:rsidRDefault="00C5236E" w:rsidP="00C5236E">
      <w:pPr>
        <w:pStyle w:val="CM28"/>
        <w:spacing w:line="360" w:lineRule="auto"/>
        <w:ind w:left="698" w:firstLine="720"/>
        <w:jc w:val="both"/>
        <w:rPr>
          <w:rFonts w:ascii="Arial" w:hAnsi="Arial" w:cs="Arial"/>
          <w:noProof/>
          <w:sz w:val="22"/>
          <w:szCs w:val="22"/>
          <w:lang w:val="en-ZA"/>
        </w:rPr>
      </w:pPr>
      <w:r w:rsidRPr="006460B0">
        <w:rPr>
          <w:rFonts w:ascii="Arial" w:hAnsi="Arial" w:cs="Arial"/>
          <w:b/>
          <w:noProof/>
          <w:sz w:val="22"/>
          <w:szCs w:val="22"/>
          <w:lang w:val="en-ZA"/>
        </w:rPr>
        <w:t>Municipality</w:t>
      </w:r>
      <w:r>
        <w:rPr>
          <w:rFonts w:ascii="Arial" w:hAnsi="Arial" w:cs="Arial"/>
          <w:b/>
          <w:noProof/>
          <w:sz w:val="22"/>
          <w:szCs w:val="22"/>
          <w:lang w:val="en-ZA"/>
        </w:rPr>
        <w:t>’</w:t>
      </w:r>
      <w:r w:rsidRPr="006460B0">
        <w:rPr>
          <w:rFonts w:ascii="Arial" w:hAnsi="Arial" w:cs="Arial"/>
          <w:noProof/>
          <w:sz w:val="22"/>
          <w:szCs w:val="22"/>
          <w:lang w:val="en-ZA"/>
        </w:rPr>
        <w:t xml:space="preserve"> means the municipal council for the municipal area </w:t>
      </w:r>
    </w:p>
    <w:p w:rsidR="00C5236E" w:rsidRPr="006460B0" w:rsidRDefault="00C5236E" w:rsidP="00C5236E">
      <w:pPr>
        <w:ind w:left="1418"/>
        <w:jc w:val="both"/>
        <w:rPr>
          <w:rFonts w:ascii="Arial" w:hAnsi="Arial" w:cs="Arial"/>
          <w:lang w:eastAsia="en-ZA"/>
        </w:rPr>
      </w:pPr>
      <w:r w:rsidRPr="006460B0">
        <w:rPr>
          <w:rFonts w:ascii="Arial" w:hAnsi="Arial" w:cs="Arial"/>
          <w:b/>
          <w:bCs/>
          <w:lang w:eastAsia="en-ZA"/>
        </w:rPr>
        <w:t xml:space="preserve">Mining property’ </w:t>
      </w:r>
      <w:r w:rsidRPr="006460B0">
        <w:rPr>
          <w:rFonts w:ascii="Arial" w:hAnsi="Arial" w:cs="Arial"/>
          <w:lang w:eastAsia="en-ZA"/>
        </w:rPr>
        <w:t>means a property used for mining operations as</w:t>
      </w:r>
      <w:r>
        <w:rPr>
          <w:rFonts w:ascii="Arial" w:hAnsi="Arial" w:cs="Arial"/>
          <w:lang w:eastAsia="en-ZA"/>
        </w:rPr>
        <w:t xml:space="preserve"> </w:t>
      </w:r>
      <w:r w:rsidRPr="006460B0">
        <w:rPr>
          <w:rFonts w:ascii="Arial" w:hAnsi="Arial" w:cs="Arial"/>
          <w:lang w:eastAsia="en-ZA"/>
        </w:rPr>
        <w:t>defined in the Mineral and Petroleum Resources Development Act, 2002</w:t>
      </w:r>
      <w:r>
        <w:rPr>
          <w:rFonts w:ascii="Arial" w:hAnsi="Arial" w:cs="Arial"/>
          <w:lang w:eastAsia="en-ZA"/>
        </w:rPr>
        <w:t xml:space="preserve"> </w:t>
      </w:r>
      <w:r w:rsidRPr="006460B0">
        <w:rPr>
          <w:rFonts w:ascii="Arial" w:hAnsi="Arial" w:cs="Arial"/>
          <w:lang w:eastAsia="en-ZA"/>
        </w:rPr>
        <w:t>(Act No. 28 of 2002)</w:t>
      </w:r>
    </w:p>
    <w:p w:rsidR="00C5236E" w:rsidRPr="006460B0" w:rsidRDefault="00C5236E" w:rsidP="00C5236E">
      <w:pPr>
        <w:pStyle w:val="Default"/>
        <w:ind w:left="698" w:firstLine="720"/>
        <w:rPr>
          <w:rFonts w:ascii="Arial" w:hAnsi="Arial" w:cs="Arial"/>
          <w:color w:val="auto"/>
          <w:sz w:val="22"/>
          <w:szCs w:val="22"/>
          <w:lang w:eastAsia="en-ZA"/>
        </w:rPr>
      </w:pPr>
    </w:p>
    <w:p w:rsidR="00C5236E" w:rsidRPr="006460B0" w:rsidRDefault="00C5236E" w:rsidP="00C5236E">
      <w:pPr>
        <w:pStyle w:val="Default"/>
        <w:ind w:left="1418"/>
        <w:jc w:val="both"/>
        <w:rPr>
          <w:rFonts w:ascii="Arial" w:hAnsi="Arial" w:cs="Arial"/>
          <w:color w:val="auto"/>
          <w:sz w:val="22"/>
          <w:szCs w:val="22"/>
          <w:lang w:eastAsia="en-ZA"/>
        </w:rPr>
      </w:pPr>
      <w:r w:rsidRPr="006460B0">
        <w:rPr>
          <w:rFonts w:ascii="Arial" w:hAnsi="Arial" w:cs="Arial"/>
          <w:b/>
          <w:bCs/>
          <w:color w:val="auto"/>
          <w:sz w:val="22"/>
          <w:szCs w:val="22"/>
          <w:lang w:eastAsia="en-ZA"/>
        </w:rPr>
        <w:t xml:space="preserve">Multiple-use </w:t>
      </w:r>
      <w:r w:rsidR="00F87DFB" w:rsidRPr="006460B0">
        <w:rPr>
          <w:rFonts w:ascii="Arial" w:hAnsi="Arial" w:cs="Arial"/>
          <w:b/>
          <w:bCs/>
          <w:color w:val="auto"/>
          <w:sz w:val="22"/>
          <w:szCs w:val="22"/>
          <w:lang w:eastAsia="en-ZA"/>
        </w:rPr>
        <w:t>properties</w:t>
      </w:r>
      <w:r w:rsidRPr="006460B0">
        <w:rPr>
          <w:rFonts w:ascii="Arial" w:hAnsi="Arial" w:cs="Arial"/>
          <w:b/>
          <w:bCs/>
          <w:color w:val="auto"/>
          <w:sz w:val="22"/>
          <w:szCs w:val="22"/>
          <w:lang w:eastAsia="en-ZA"/>
        </w:rPr>
        <w:t xml:space="preserve"> </w:t>
      </w:r>
      <w:r w:rsidR="00F87DFB" w:rsidRPr="006460B0">
        <w:rPr>
          <w:rFonts w:ascii="Arial" w:hAnsi="Arial" w:cs="Arial"/>
          <w:color w:val="auto"/>
          <w:sz w:val="22"/>
          <w:szCs w:val="22"/>
          <w:lang w:eastAsia="en-ZA"/>
        </w:rPr>
        <w:t>refer</w:t>
      </w:r>
      <w:r w:rsidRPr="006460B0">
        <w:rPr>
          <w:rFonts w:ascii="Arial" w:hAnsi="Arial" w:cs="Arial"/>
          <w:color w:val="auto"/>
          <w:sz w:val="22"/>
          <w:szCs w:val="22"/>
          <w:lang w:eastAsia="en-ZA"/>
        </w:rPr>
        <w:t xml:space="preserve"> to property where there is a combination of different categories of property on the same registered property and where the market value of each is apportioned on the valuation roll;</w:t>
      </w:r>
    </w:p>
    <w:p w:rsidR="00C5236E" w:rsidRPr="006460B0" w:rsidRDefault="00C5236E" w:rsidP="00C5236E">
      <w:pPr>
        <w:pStyle w:val="Default"/>
        <w:ind w:left="698" w:firstLine="720"/>
        <w:rPr>
          <w:rFonts w:ascii="Arial" w:hAnsi="Arial" w:cs="Arial"/>
          <w:color w:val="auto"/>
          <w:sz w:val="22"/>
          <w:szCs w:val="22"/>
          <w:lang w:eastAsia="en-ZA"/>
        </w:rPr>
      </w:pPr>
    </w:p>
    <w:p w:rsidR="00C5236E" w:rsidRPr="006460B0" w:rsidRDefault="00C5236E" w:rsidP="00C5236E">
      <w:pPr>
        <w:ind w:left="1418" w:firstLine="11"/>
        <w:rPr>
          <w:rFonts w:ascii="Arial" w:hAnsi="Arial" w:cs="Arial"/>
          <w:lang w:eastAsia="en-ZA"/>
        </w:rPr>
      </w:pPr>
      <w:r w:rsidRPr="006460B0">
        <w:rPr>
          <w:rFonts w:ascii="Arial" w:hAnsi="Arial" w:cs="Arial"/>
          <w:b/>
          <w:bCs/>
          <w:lang w:eastAsia="en-ZA"/>
        </w:rPr>
        <w:t xml:space="preserve">Permitted Use” </w:t>
      </w:r>
      <w:r w:rsidRPr="006460B0">
        <w:rPr>
          <w:rFonts w:ascii="Arial" w:hAnsi="Arial" w:cs="Arial"/>
          <w:lang w:eastAsia="en-ZA"/>
        </w:rPr>
        <w:t>means the limited purposes for which the property may be used in terms of</w:t>
      </w:r>
    </w:p>
    <w:p w:rsidR="00C5236E" w:rsidRPr="006460B0" w:rsidRDefault="00C5236E" w:rsidP="00C5236E">
      <w:pPr>
        <w:ind w:left="720" w:firstLine="720"/>
        <w:rPr>
          <w:rFonts w:ascii="Arial" w:hAnsi="Arial" w:cs="Arial"/>
          <w:lang w:eastAsia="en-ZA"/>
        </w:rPr>
      </w:pPr>
      <w:r w:rsidRPr="006460B0">
        <w:rPr>
          <w:rFonts w:ascii="Arial" w:hAnsi="Arial" w:cs="Arial"/>
          <w:lang w:eastAsia="en-ZA"/>
        </w:rPr>
        <w:t>I. A condition of title.</w:t>
      </w:r>
    </w:p>
    <w:p w:rsidR="00C5236E" w:rsidRPr="006460B0" w:rsidRDefault="00C5236E" w:rsidP="00C5236E">
      <w:pPr>
        <w:ind w:left="1440"/>
        <w:rPr>
          <w:rFonts w:ascii="Arial" w:hAnsi="Arial" w:cs="Arial"/>
          <w:lang w:eastAsia="en-ZA"/>
        </w:rPr>
      </w:pPr>
      <w:r w:rsidRPr="006460B0">
        <w:rPr>
          <w:rFonts w:ascii="Arial" w:hAnsi="Arial" w:cs="Arial"/>
          <w:lang w:eastAsia="en-ZA"/>
        </w:rPr>
        <w:t>II. A provision of the Phalaborwa’s applicable Town Planning or land use scheme as amended from time to time.</w:t>
      </w:r>
    </w:p>
    <w:p w:rsidR="00C5236E" w:rsidRPr="006460B0" w:rsidRDefault="00C5236E" w:rsidP="00C5236E">
      <w:pPr>
        <w:pStyle w:val="CM28"/>
        <w:spacing w:line="360" w:lineRule="auto"/>
        <w:ind w:left="1418"/>
        <w:jc w:val="both"/>
        <w:rPr>
          <w:rFonts w:ascii="Arial" w:hAnsi="Arial" w:cs="Arial"/>
          <w:sz w:val="22"/>
          <w:szCs w:val="22"/>
        </w:rPr>
      </w:pPr>
      <w:r w:rsidRPr="006460B0">
        <w:rPr>
          <w:rFonts w:ascii="Arial" w:hAnsi="Arial" w:cs="Arial"/>
          <w:sz w:val="22"/>
          <w:szCs w:val="22"/>
          <w:lang w:eastAsia="en-ZA"/>
        </w:rPr>
        <w:t>III. Any legislation applicable to any specific property or properties</w:t>
      </w:r>
    </w:p>
    <w:p w:rsidR="00C5236E" w:rsidRPr="006460B0" w:rsidRDefault="00C5236E" w:rsidP="00C5236E">
      <w:pPr>
        <w:pStyle w:val="CM28"/>
        <w:ind w:left="1418"/>
        <w:jc w:val="both"/>
        <w:rPr>
          <w:rFonts w:ascii="Arial" w:hAnsi="Arial" w:cs="Arial"/>
          <w:noProof/>
          <w:sz w:val="22"/>
          <w:szCs w:val="22"/>
          <w:lang w:val="en-ZA"/>
        </w:rPr>
      </w:pPr>
      <w:r w:rsidRPr="006460B0">
        <w:rPr>
          <w:rFonts w:ascii="Arial" w:hAnsi="Arial" w:cs="Arial"/>
          <w:b/>
          <w:bCs/>
          <w:sz w:val="22"/>
          <w:szCs w:val="22"/>
        </w:rPr>
        <w:t>Privately developed estates</w:t>
      </w:r>
      <w:r w:rsidRPr="006460B0">
        <w:rPr>
          <w:rFonts w:ascii="Arial" w:hAnsi="Arial" w:cs="Arial"/>
          <w:sz w:val="22"/>
          <w:szCs w:val="22"/>
        </w:rPr>
        <w:t xml:space="preserve"> “means properties divided through sub division or township establishment into developments with full title stands and / or sectional units in accordance with the Town Planning Scheme and where all services inclusive of water, electricity, sewerage and refuse removal and roads development are installed at the full cost of the developer and maintained by the residents of such estate"</w:t>
      </w:r>
    </w:p>
    <w:p w:rsidR="00C5236E" w:rsidRDefault="00C5236E" w:rsidP="00C5236E">
      <w:pPr>
        <w:pStyle w:val="CM28"/>
        <w:spacing w:line="360" w:lineRule="auto"/>
        <w:ind w:left="1440" w:hanging="731"/>
        <w:jc w:val="both"/>
        <w:rPr>
          <w:rFonts w:ascii="Arial" w:hAnsi="Arial" w:cs="Arial"/>
          <w:noProof/>
          <w:sz w:val="22"/>
          <w:szCs w:val="22"/>
          <w:lang w:val="en-ZA"/>
        </w:rPr>
      </w:pPr>
      <w:r w:rsidRPr="006460B0">
        <w:rPr>
          <w:rFonts w:ascii="Arial" w:hAnsi="Arial" w:cs="Arial"/>
          <w:noProof/>
          <w:sz w:val="22"/>
          <w:szCs w:val="22"/>
          <w:lang w:val="en-ZA"/>
        </w:rPr>
        <w:tab/>
      </w:r>
    </w:p>
    <w:p w:rsidR="00C5236E" w:rsidRPr="001B79EB" w:rsidRDefault="00C5236E" w:rsidP="00C5236E">
      <w:pPr>
        <w:ind w:left="1418"/>
        <w:rPr>
          <w:rFonts w:ascii="ArialMT" w:hAnsi="ArialMT" w:cs="ArialMT"/>
          <w:color w:val="000000"/>
          <w:lang w:val="en-US"/>
        </w:rPr>
      </w:pPr>
      <w:r w:rsidRPr="001B79EB">
        <w:rPr>
          <w:rFonts w:ascii="Arial-BoldMT" w:hAnsi="Arial-BoldMT" w:cs="Arial-BoldMT"/>
          <w:b/>
          <w:bCs/>
          <w:color w:val="000000"/>
          <w:lang w:val="en-US"/>
        </w:rPr>
        <w:lastRenderedPageBreak/>
        <w:t xml:space="preserve">service infrastructure” </w:t>
      </w:r>
      <w:r w:rsidRPr="001B79EB">
        <w:rPr>
          <w:rFonts w:ascii="ArialMT" w:hAnsi="ArialMT" w:cs="ArialMT"/>
          <w:color w:val="000000"/>
          <w:lang w:val="en-US"/>
        </w:rPr>
        <w:t>means publicly controlled infrastructure of the following kinds:</w:t>
      </w:r>
    </w:p>
    <w:p w:rsidR="00C5236E" w:rsidRPr="001B79EB" w:rsidRDefault="00C5236E" w:rsidP="00C5236E">
      <w:pPr>
        <w:numPr>
          <w:ilvl w:val="0"/>
          <w:numId w:val="7"/>
        </w:numPr>
        <w:autoSpaceDE w:val="0"/>
        <w:autoSpaceDN w:val="0"/>
        <w:adjustRightInd w:val="0"/>
        <w:spacing w:after="0" w:line="240" w:lineRule="auto"/>
        <w:ind w:left="1843" w:hanging="425"/>
        <w:jc w:val="both"/>
        <w:rPr>
          <w:rFonts w:ascii="ArialMT" w:hAnsi="ArialMT" w:cs="ArialMT"/>
          <w:color w:val="000000"/>
          <w:lang w:val="en-US"/>
        </w:rPr>
      </w:pPr>
      <w:r w:rsidRPr="001B79EB">
        <w:rPr>
          <w:rFonts w:ascii="ArialMT" w:hAnsi="ArialMT" w:cs="ArialMT"/>
          <w:color w:val="000000"/>
          <w:lang w:val="en-US"/>
        </w:rPr>
        <w:t>national, provincial or other public roads on which goods, services or labour move across a municipal boundary;</w:t>
      </w:r>
    </w:p>
    <w:p w:rsidR="00C5236E" w:rsidRPr="001B79EB" w:rsidRDefault="00C5236E" w:rsidP="00C5236E">
      <w:pPr>
        <w:numPr>
          <w:ilvl w:val="0"/>
          <w:numId w:val="7"/>
        </w:numPr>
        <w:autoSpaceDE w:val="0"/>
        <w:autoSpaceDN w:val="0"/>
        <w:adjustRightInd w:val="0"/>
        <w:spacing w:after="0" w:line="240" w:lineRule="auto"/>
        <w:ind w:left="1843" w:hanging="425"/>
        <w:jc w:val="both"/>
        <w:rPr>
          <w:rFonts w:ascii="ArialMT" w:hAnsi="ArialMT" w:cs="ArialMT"/>
          <w:color w:val="000000"/>
          <w:lang w:val="en-US"/>
        </w:rPr>
      </w:pPr>
      <w:r w:rsidRPr="001B79EB">
        <w:rPr>
          <w:rFonts w:ascii="ArialMT" w:hAnsi="ArialMT" w:cs="ArialMT"/>
          <w:color w:val="000000"/>
          <w:lang w:val="en-US"/>
        </w:rPr>
        <w:t>water or sewer pipes, ducts or other conduits, dams, water supply reservoirs, water treatment plants or water pumps forming part of a water or sewer</w:t>
      </w:r>
    </w:p>
    <w:p w:rsidR="00C5236E" w:rsidRPr="001B79EB" w:rsidRDefault="00C5236E" w:rsidP="00C5236E">
      <w:pPr>
        <w:numPr>
          <w:ilvl w:val="0"/>
          <w:numId w:val="7"/>
        </w:numPr>
        <w:autoSpaceDE w:val="0"/>
        <w:autoSpaceDN w:val="0"/>
        <w:adjustRightInd w:val="0"/>
        <w:spacing w:after="0" w:line="240" w:lineRule="auto"/>
        <w:ind w:left="1843" w:hanging="425"/>
        <w:jc w:val="both"/>
        <w:rPr>
          <w:rFonts w:ascii="ArialMT" w:hAnsi="ArialMT" w:cs="ArialMT"/>
          <w:color w:val="000000"/>
          <w:lang w:val="en-US"/>
        </w:rPr>
      </w:pPr>
      <w:r w:rsidRPr="001B79EB">
        <w:rPr>
          <w:rFonts w:ascii="ArialMT" w:hAnsi="ArialMT" w:cs="ArialMT"/>
          <w:color w:val="000000"/>
          <w:lang w:val="en-US"/>
        </w:rPr>
        <w:t>power stations, power substations or power lines forming part of an electricity scheme serving the public;</w:t>
      </w:r>
    </w:p>
    <w:p w:rsidR="00C5236E" w:rsidRPr="001B79EB" w:rsidRDefault="00C5236E" w:rsidP="00C5236E">
      <w:pPr>
        <w:numPr>
          <w:ilvl w:val="0"/>
          <w:numId w:val="7"/>
        </w:numPr>
        <w:autoSpaceDE w:val="0"/>
        <w:autoSpaceDN w:val="0"/>
        <w:adjustRightInd w:val="0"/>
        <w:spacing w:after="0" w:line="240" w:lineRule="auto"/>
        <w:ind w:left="1843" w:hanging="425"/>
        <w:jc w:val="both"/>
        <w:rPr>
          <w:rFonts w:ascii="ArialMT" w:hAnsi="ArialMT" w:cs="ArialMT"/>
          <w:color w:val="000000"/>
          <w:lang w:val="en-US"/>
        </w:rPr>
      </w:pPr>
      <w:r w:rsidRPr="001B79EB">
        <w:rPr>
          <w:rFonts w:ascii="ArialMT" w:hAnsi="ArialMT" w:cs="ArialMT"/>
          <w:color w:val="000000"/>
          <w:lang w:val="en-US"/>
        </w:rPr>
        <w:t>gas or liquid fuel plants or refineries or pipelines for gas or liquid fuels, forming part of a scheme for transporting such fuels;</w:t>
      </w:r>
    </w:p>
    <w:p w:rsidR="00C5236E" w:rsidRPr="001B79EB" w:rsidRDefault="00C5236E" w:rsidP="00C5236E">
      <w:pPr>
        <w:ind w:left="1843" w:hanging="425"/>
        <w:jc w:val="both"/>
        <w:rPr>
          <w:rFonts w:ascii="ArialMT" w:hAnsi="ArialMT" w:cs="ArialMT"/>
          <w:color w:val="000000"/>
          <w:lang w:val="en-US"/>
        </w:rPr>
      </w:pPr>
      <w:r w:rsidRPr="001B79EB">
        <w:rPr>
          <w:rFonts w:ascii="ArialMT" w:hAnsi="ArialMT" w:cs="ArialMT"/>
          <w:color w:val="000000"/>
          <w:lang w:val="en-US"/>
        </w:rPr>
        <w:t>(e)</w:t>
      </w:r>
      <w:r w:rsidRPr="001B79EB">
        <w:rPr>
          <w:rFonts w:ascii="ArialMT" w:hAnsi="ArialMT" w:cs="ArialMT"/>
          <w:color w:val="000000"/>
          <w:lang w:val="en-US"/>
        </w:rPr>
        <w:tab/>
        <w:t>railway lines forming part of a national railway system;</w:t>
      </w:r>
    </w:p>
    <w:p w:rsidR="00C5236E" w:rsidRPr="001B79EB" w:rsidRDefault="00C5236E" w:rsidP="00C5236E">
      <w:pPr>
        <w:ind w:left="1843" w:hanging="425"/>
        <w:rPr>
          <w:rFonts w:ascii="ArialMT" w:hAnsi="ArialMT" w:cs="ArialMT"/>
          <w:color w:val="000000"/>
          <w:lang w:val="en-US"/>
        </w:rPr>
      </w:pPr>
      <w:r w:rsidRPr="001B79EB">
        <w:rPr>
          <w:rFonts w:ascii="ArialMT" w:hAnsi="ArialMT" w:cs="ArialMT"/>
          <w:color w:val="000000"/>
          <w:lang w:val="en-US"/>
        </w:rPr>
        <w:t>(f)</w:t>
      </w:r>
      <w:r w:rsidRPr="001B79EB">
        <w:rPr>
          <w:rFonts w:ascii="ArialMT" w:hAnsi="ArialMT" w:cs="ArialMT"/>
          <w:color w:val="000000"/>
          <w:lang w:val="en-US"/>
        </w:rPr>
        <w:tab/>
        <w:t>communication towers, masts, exchanges or lines forming part of a communications system serving the public;</w:t>
      </w:r>
    </w:p>
    <w:p w:rsidR="00C5236E" w:rsidRPr="001B79EB" w:rsidRDefault="00C5236E" w:rsidP="00C5236E">
      <w:pPr>
        <w:ind w:left="1843" w:hanging="425"/>
        <w:jc w:val="both"/>
        <w:rPr>
          <w:rFonts w:ascii="ArialMT" w:hAnsi="ArialMT" w:cs="ArialMT"/>
          <w:color w:val="000000"/>
          <w:lang w:val="en-US"/>
        </w:rPr>
      </w:pPr>
      <w:r w:rsidRPr="001B79EB">
        <w:rPr>
          <w:rFonts w:ascii="ArialMT" w:hAnsi="ArialMT" w:cs="ArialMT"/>
          <w:color w:val="000000"/>
          <w:lang w:val="en-US"/>
        </w:rPr>
        <w:t>(g)</w:t>
      </w:r>
      <w:r w:rsidRPr="001B79EB">
        <w:rPr>
          <w:rFonts w:ascii="ArialMT" w:hAnsi="ArialMT" w:cs="ArialMT"/>
          <w:color w:val="000000"/>
          <w:lang w:val="en-US"/>
        </w:rPr>
        <w:tab/>
        <w:t xml:space="preserve">runways </w:t>
      </w:r>
      <w:r w:rsidRPr="001B79EB">
        <w:rPr>
          <w:rFonts w:ascii="Arial-BoldMT" w:hAnsi="Arial-BoldMT" w:cs="Arial-BoldMT"/>
          <w:bCs/>
          <w:color w:val="000000"/>
          <w:lang w:val="en-US"/>
        </w:rPr>
        <w:t>or</w:t>
      </w:r>
      <w:r w:rsidRPr="001B79EB">
        <w:rPr>
          <w:rFonts w:ascii="Arial-BoldMT" w:hAnsi="Arial-BoldMT" w:cs="Arial-BoldMT"/>
          <w:b/>
          <w:bCs/>
          <w:color w:val="000000"/>
          <w:lang w:val="en-US"/>
        </w:rPr>
        <w:t xml:space="preserve"> </w:t>
      </w:r>
      <w:r w:rsidRPr="001B79EB">
        <w:rPr>
          <w:rFonts w:ascii="ArialMT" w:hAnsi="ArialMT" w:cs="ArialMT"/>
          <w:color w:val="000000"/>
          <w:lang w:val="en-US"/>
        </w:rPr>
        <w:t xml:space="preserve">aprons and the air traffic control unit at national or provincial airports, including the vacant land known as the obstacle free zone surrounding these, which must be vacant for the air navigation purposes; </w:t>
      </w:r>
    </w:p>
    <w:p w:rsidR="00C5236E" w:rsidRPr="001B79EB" w:rsidRDefault="00C5236E" w:rsidP="00C5236E">
      <w:pPr>
        <w:ind w:left="1843" w:hanging="425"/>
        <w:jc w:val="both"/>
        <w:rPr>
          <w:rFonts w:ascii="ArialMT" w:hAnsi="ArialMT" w:cs="ArialMT"/>
          <w:color w:val="000000"/>
          <w:lang w:val="en-US"/>
        </w:rPr>
      </w:pPr>
      <w:r w:rsidRPr="001B79EB">
        <w:rPr>
          <w:rFonts w:ascii="ArialMT" w:hAnsi="ArialMT" w:cs="ArialMT"/>
          <w:color w:val="000000"/>
          <w:lang w:val="en-US"/>
        </w:rPr>
        <w:t>(h)</w:t>
      </w:r>
      <w:r w:rsidRPr="001B79EB">
        <w:rPr>
          <w:rFonts w:ascii="ArialMT" w:hAnsi="ArialMT" w:cs="ArialMT"/>
          <w:color w:val="000000"/>
          <w:lang w:val="en-US"/>
        </w:rPr>
        <w:tab/>
        <w:t>breakwaters, sea walls, channels, basins, quay walls, jetties, roads, railway or infrastructure used for the provision of water, lights, power, sewerage or similar services of ports, or navigational aids comprising lighthouses, radio navigational aids, buoys, beacons or any other device or system used to assist the safe and efficient navigation of vessels; communications system serving the public;</w:t>
      </w:r>
    </w:p>
    <w:p w:rsidR="00C5236E" w:rsidRPr="001B79EB" w:rsidRDefault="00C5236E" w:rsidP="00C5236E">
      <w:pPr>
        <w:ind w:left="1843" w:hanging="425"/>
        <w:jc w:val="both"/>
        <w:rPr>
          <w:rFonts w:ascii="ArialMT" w:hAnsi="ArialMT" w:cs="ArialMT"/>
          <w:color w:val="000000"/>
          <w:lang w:val="en-US"/>
        </w:rPr>
      </w:pPr>
      <w:r w:rsidRPr="001B79EB">
        <w:rPr>
          <w:rFonts w:ascii="ArialMT" w:hAnsi="ArialMT" w:cs="ArialMT"/>
          <w:color w:val="000000"/>
          <w:lang w:val="en-US"/>
        </w:rPr>
        <w:t>(i)</w:t>
      </w:r>
      <w:r w:rsidRPr="001B79EB">
        <w:rPr>
          <w:rFonts w:ascii="ArialMT" w:hAnsi="ArialMT" w:cs="ArialMT"/>
          <w:color w:val="000000"/>
          <w:lang w:val="en-US"/>
        </w:rPr>
        <w:tab/>
        <w:t>any other publicly controlled infrastructure as may be prescribed; or</w:t>
      </w:r>
    </w:p>
    <w:p w:rsidR="00C5236E" w:rsidRPr="00CC4760" w:rsidRDefault="00C5236E" w:rsidP="00C5236E">
      <w:pPr>
        <w:ind w:left="1843" w:hanging="425"/>
        <w:jc w:val="both"/>
        <w:rPr>
          <w:color w:val="000000"/>
        </w:rPr>
      </w:pPr>
      <w:r w:rsidRPr="001B79EB">
        <w:rPr>
          <w:rFonts w:ascii="ArialMT" w:hAnsi="ArialMT" w:cs="ArialMT"/>
          <w:color w:val="000000"/>
          <w:lang w:val="en-US"/>
        </w:rPr>
        <w:t>(j)</w:t>
      </w:r>
      <w:r w:rsidRPr="001B79EB">
        <w:rPr>
          <w:rFonts w:ascii="ArialMT" w:hAnsi="ArialMT" w:cs="ArialMT"/>
          <w:color w:val="000000"/>
          <w:lang w:val="en-US"/>
        </w:rPr>
        <w:tab/>
        <w:t>a right registered against immovable property</w:t>
      </w:r>
      <w:r w:rsidRPr="001B79EB">
        <w:rPr>
          <w:rFonts w:ascii="Arial-ItalicMT" w:hAnsi="Arial-ItalicMT" w:cs="Arial-ItalicMT"/>
          <w:i/>
          <w:iCs/>
          <w:color w:val="000000"/>
          <w:sz w:val="20"/>
          <w:szCs w:val="20"/>
          <w:lang w:val="en-US"/>
        </w:rPr>
        <w:t xml:space="preserve"> </w:t>
      </w:r>
      <w:r w:rsidRPr="001B79EB">
        <w:rPr>
          <w:rFonts w:ascii="ArialMT" w:hAnsi="ArialMT" w:cs="ArialMT"/>
          <w:color w:val="000000"/>
          <w:lang w:val="en-US"/>
        </w:rPr>
        <w:t>in connection with infrastructure mentioned in paragraphs (a) to (i);</w:t>
      </w:r>
    </w:p>
    <w:p w:rsidR="00C5236E" w:rsidRPr="00EA1F6A" w:rsidRDefault="00C5236E" w:rsidP="00C5236E">
      <w:pPr>
        <w:pStyle w:val="Default"/>
        <w:rPr>
          <w:lang w:val="en-ZA"/>
        </w:rPr>
      </w:pPr>
    </w:p>
    <w:p w:rsidR="00C5236E" w:rsidRPr="001B79EB" w:rsidRDefault="00C5236E" w:rsidP="00C5236E">
      <w:pPr>
        <w:pStyle w:val="Default"/>
        <w:ind w:left="1418"/>
        <w:rPr>
          <w:rFonts w:ascii="ArialMT" w:hAnsi="ArialMT" w:cs="ArialMT"/>
          <w:sz w:val="22"/>
          <w:szCs w:val="22"/>
        </w:rPr>
      </w:pPr>
      <w:r w:rsidRPr="001B79EB">
        <w:rPr>
          <w:rFonts w:ascii="Arial" w:hAnsi="Arial" w:cs="Arial"/>
          <w:b/>
          <w:bCs/>
          <w:color w:val="auto"/>
          <w:sz w:val="22"/>
          <w:szCs w:val="22"/>
          <w:lang w:eastAsia="en-ZA"/>
        </w:rPr>
        <w:t xml:space="preserve">“public service purposes”, </w:t>
      </w:r>
      <w:r w:rsidRPr="001B79EB">
        <w:rPr>
          <w:rFonts w:ascii="Arial" w:hAnsi="Arial" w:cs="Arial"/>
          <w:bCs/>
          <w:color w:val="auto"/>
          <w:sz w:val="22"/>
          <w:szCs w:val="22"/>
          <w:lang w:eastAsia="en-ZA"/>
        </w:rPr>
        <w:t xml:space="preserve">in relation to the use of a property, means property owned and used by an organ </w:t>
      </w:r>
      <w:r w:rsidRPr="001B79EB">
        <w:rPr>
          <w:rFonts w:ascii="ArialMT" w:hAnsi="ArialMT" w:cs="ArialMT"/>
          <w:sz w:val="22"/>
          <w:szCs w:val="22"/>
        </w:rPr>
        <w:t>of state as-</w:t>
      </w:r>
    </w:p>
    <w:p w:rsidR="00C5236E" w:rsidRPr="001B79EB" w:rsidRDefault="00C5236E" w:rsidP="00C5236E">
      <w:pPr>
        <w:pStyle w:val="Default"/>
        <w:ind w:left="1418"/>
        <w:rPr>
          <w:rFonts w:ascii="ArialMT" w:hAnsi="ArialMT" w:cs="ArialMT"/>
          <w:sz w:val="22"/>
          <w:szCs w:val="22"/>
        </w:rPr>
      </w:pPr>
    </w:p>
    <w:p w:rsidR="00C5236E" w:rsidRPr="001B79EB" w:rsidRDefault="00C5236E" w:rsidP="00C5236E">
      <w:pPr>
        <w:ind w:left="1843" w:hanging="425"/>
        <w:rPr>
          <w:rFonts w:ascii="ArialMT" w:hAnsi="ArialMT" w:cs="ArialMT"/>
          <w:color w:val="000000"/>
          <w:lang w:val="en-US"/>
        </w:rPr>
      </w:pPr>
      <w:r w:rsidRPr="001B79EB">
        <w:rPr>
          <w:rFonts w:ascii="Arial-ItalicMT" w:hAnsi="Arial-ItalicMT" w:cs="Arial-ItalicMT"/>
          <w:iCs/>
          <w:color w:val="000000"/>
          <w:lang w:val="en-US"/>
        </w:rPr>
        <w:t>(a)</w:t>
      </w:r>
      <w:r w:rsidRPr="001B79EB">
        <w:rPr>
          <w:rFonts w:ascii="Arial-ItalicMT" w:hAnsi="Arial-ItalicMT" w:cs="Arial-ItalicMT"/>
          <w:iCs/>
          <w:color w:val="000000"/>
          <w:lang w:val="en-US"/>
        </w:rPr>
        <w:tab/>
        <w:t>H</w:t>
      </w:r>
      <w:r w:rsidRPr="001B79EB">
        <w:rPr>
          <w:rFonts w:ascii="ArialMT" w:hAnsi="ArialMT" w:cs="ArialMT"/>
          <w:color w:val="000000"/>
          <w:lang w:val="en-US"/>
        </w:rPr>
        <w:t>ospitals and clinics;</w:t>
      </w:r>
    </w:p>
    <w:p w:rsidR="00C5236E" w:rsidRPr="001B79EB" w:rsidRDefault="00C5236E" w:rsidP="00C5236E">
      <w:pPr>
        <w:ind w:left="1843" w:hanging="425"/>
        <w:rPr>
          <w:rFonts w:ascii="ArialMT" w:hAnsi="ArialMT" w:cs="ArialMT"/>
          <w:color w:val="000000"/>
          <w:lang w:val="en-US"/>
        </w:rPr>
      </w:pPr>
      <w:r w:rsidRPr="001B79EB">
        <w:rPr>
          <w:rFonts w:ascii="Arial-ItalicMT" w:hAnsi="Arial-ItalicMT" w:cs="Arial-ItalicMT"/>
          <w:iCs/>
          <w:color w:val="000000"/>
          <w:lang w:val="en-US"/>
        </w:rPr>
        <w:t>(b)</w:t>
      </w:r>
      <w:r w:rsidRPr="001B79EB">
        <w:rPr>
          <w:rFonts w:ascii="Arial-ItalicMT" w:hAnsi="Arial-ItalicMT" w:cs="Arial-ItalicMT"/>
          <w:iCs/>
          <w:color w:val="000000"/>
          <w:lang w:val="en-US"/>
        </w:rPr>
        <w:tab/>
        <w:t xml:space="preserve">schools, pre-schools, early childhood development </w:t>
      </w:r>
      <w:r w:rsidR="001B79EB" w:rsidRPr="001B79EB">
        <w:rPr>
          <w:rFonts w:ascii="Arial-ItalicMT" w:hAnsi="Arial-ItalicMT" w:cs="Arial-ItalicMT"/>
          <w:iCs/>
          <w:color w:val="000000"/>
          <w:lang w:val="en-US"/>
        </w:rPr>
        <w:t>centers</w:t>
      </w:r>
      <w:r w:rsidRPr="001B79EB">
        <w:rPr>
          <w:rFonts w:ascii="Arial-ItalicMT" w:hAnsi="Arial-ItalicMT" w:cs="Arial-ItalicMT"/>
          <w:iCs/>
          <w:color w:val="000000"/>
          <w:lang w:val="en-US"/>
        </w:rPr>
        <w:t xml:space="preserve"> or further </w:t>
      </w:r>
      <w:r w:rsidRPr="001B79EB">
        <w:rPr>
          <w:rFonts w:ascii="ArialMT" w:hAnsi="ArialMT" w:cs="ArialMT"/>
          <w:color w:val="000000"/>
          <w:lang w:val="en-US"/>
        </w:rPr>
        <w:t>education and training colleges;</w:t>
      </w:r>
    </w:p>
    <w:p w:rsidR="00C5236E" w:rsidRPr="001B79EB" w:rsidRDefault="00C5236E" w:rsidP="00C5236E">
      <w:pPr>
        <w:ind w:left="1843" w:hanging="425"/>
        <w:rPr>
          <w:rFonts w:ascii="Arial-ItalicMT" w:hAnsi="Arial-ItalicMT" w:cs="Arial-ItalicMT"/>
          <w:iCs/>
          <w:color w:val="000000"/>
          <w:lang w:val="en-US"/>
        </w:rPr>
      </w:pPr>
      <w:r w:rsidRPr="001B79EB">
        <w:rPr>
          <w:rFonts w:ascii="Arial-ItalicMT" w:hAnsi="Arial-ItalicMT" w:cs="Arial-ItalicMT"/>
          <w:iCs/>
          <w:color w:val="000000"/>
          <w:lang w:val="en-US"/>
        </w:rPr>
        <w:t>(c)</w:t>
      </w:r>
      <w:r w:rsidRPr="001B79EB">
        <w:rPr>
          <w:rFonts w:ascii="Arial-ItalicMT" w:hAnsi="Arial-ItalicMT" w:cs="Arial-ItalicMT"/>
          <w:iCs/>
          <w:color w:val="000000"/>
          <w:lang w:val="en-US"/>
        </w:rPr>
        <w:tab/>
        <w:t>national and provincial libraries and archives;</w:t>
      </w:r>
    </w:p>
    <w:p w:rsidR="00C5236E" w:rsidRPr="001B79EB" w:rsidRDefault="00C5236E" w:rsidP="00C5236E">
      <w:pPr>
        <w:ind w:left="1843" w:hanging="425"/>
        <w:rPr>
          <w:rFonts w:ascii="ArialMT" w:hAnsi="ArialMT" w:cs="ArialMT"/>
          <w:color w:val="000000"/>
          <w:lang w:val="en-US"/>
        </w:rPr>
      </w:pPr>
      <w:r w:rsidRPr="001B79EB">
        <w:rPr>
          <w:rFonts w:ascii="Arial-ItalicMT" w:hAnsi="Arial-ItalicMT" w:cs="Arial-ItalicMT"/>
          <w:iCs/>
          <w:color w:val="000000"/>
          <w:lang w:val="en-US"/>
        </w:rPr>
        <w:t>(d)</w:t>
      </w:r>
      <w:r w:rsidRPr="001B79EB">
        <w:rPr>
          <w:rFonts w:ascii="Arial-ItalicMT" w:hAnsi="Arial-ItalicMT" w:cs="Arial-ItalicMT"/>
          <w:iCs/>
          <w:color w:val="000000"/>
          <w:lang w:val="en-US"/>
        </w:rPr>
        <w:tab/>
      </w:r>
      <w:r w:rsidRPr="001B79EB">
        <w:rPr>
          <w:rFonts w:ascii="ArialMT" w:hAnsi="ArialMT" w:cs="ArialMT"/>
          <w:color w:val="000000"/>
          <w:lang w:val="en-US"/>
        </w:rPr>
        <w:t>police stations;</w:t>
      </w:r>
    </w:p>
    <w:p w:rsidR="00C5236E" w:rsidRPr="001B79EB" w:rsidRDefault="00C5236E" w:rsidP="00C5236E">
      <w:pPr>
        <w:ind w:left="1843" w:hanging="425"/>
        <w:rPr>
          <w:rFonts w:ascii="ArialMT" w:hAnsi="ArialMT" w:cs="ArialMT"/>
          <w:color w:val="000000"/>
          <w:lang w:val="en-US"/>
        </w:rPr>
      </w:pPr>
      <w:r w:rsidRPr="001B79EB">
        <w:rPr>
          <w:rFonts w:ascii="Arial-ItalicMT" w:hAnsi="Arial-ItalicMT" w:cs="Arial-ItalicMT"/>
          <w:iCs/>
          <w:color w:val="000000"/>
          <w:lang w:val="en-US"/>
        </w:rPr>
        <w:t>(e)</w:t>
      </w:r>
      <w:r w:rsidRPr="001B79EB">
        <w:rPr>
          <w:rFonts w:ascii="Arial-ItalicMT" w:hAnsi="Arial-ItalicMT" w:cs="Arial-ItalicMT"/>
          <w:iCs/>
          <w:color w:val="000000"/>
          <w:lang w:val="en-US"/>
        </w:rPr>
        <w:tab/>
      </w:r>
      <w:r w:rsidRPr="001B79EB">
        <w:rPr>
          <w:rFonts w:ascii="ArialMT" w:hAnsi="ArialMT" w:cs="ArialMT"/>
          <w:color w:val="000000"/>
          <w:lang w:val="en-US"/>
        </w:rPr>
        <w:t>correctional facilities; or</w:t>
      </w:r>
    </w:p>
    <w:p w:rsidR="00C5236E" w:rsidRDefault="00C5236E" w:rsidP="00C5236E">
      <w:pPr>
        <w:ind w:left="1843" w:hanging="425"/>
        <w:rPr>
          <w:rFonts w:ascii="ArialMT" w:hAnsi="ArialMT" w:cs="ArialMT"/>
          <w:color w:val="000000"/>
          <w:lang w:val="en-US"/>
        </w:rPr>
      </w:pPr>
      <w:r w:rsidRPr="001B79EB">
        <w:rPr>
          <w:rFonts w:ascii="Arial-ItalicMT" w:hAnsi="Arial-ItalicMT" w:cs="Arial-ItalicMT"/>
          <w:iCs/>
          <w:color w:val="000000"/>
          <w:lang w:val="en-US"/>
        </w:rPr>
        <w:t>(f)</w:t>
      </w:r>
      <w:r w:rsidRPr="001B79EB">
        <w:rPr>
          <w:rFonts w:ascii="Arial-ItalicMT" w:hAnsi="Arial-ItalicMT" w:cs="Arial-ItalicMT"/>
          <w:iCs/>
          <w:color w:val="000000"/>
          <w:lang w:val="en-US"/>
        </w:rPr>
        <w:tab/>
      </w:r>
      <w:r w:rsidRPr="001B79EB">
        <w:rPr>
          <w:rFonts w:ascii="ArialMT" w:hAnsi="ArialMT" w:cs="ArialMT"/>
          <w:color w:val="000000"/>
          <w:lang w:val="en-US"/>
        </w:rPr>
        <w:t>courts of law, but excludes property contemplated in the definition of "public service infrastructure"</w:t>
      </w:r>
    </w:p>
    <w:p w:rsidR="0064468D" w:rsidRDefault="0064468D" w:rsidP="00C5236E">
      <w:pPr>
        <w:ind w:left="1843" w:hanging="425"/>
        <w:rPr>
          <w:rFonts w:ascii="ArialMT" w:hAnsi="ArialMT" w:cs="ArialMT"/>
          <w:color w:val="000000"/>
          <w:lang w:val="en-US"/>
        </w:rPr>
      </w:pPr>
    </w:p>
    <w:p w:rsidR="0064468D" w:rsidRDefault="0064468D" w:rsidP="00C5236E">
      <w:pPr>
        <w:ind w:left="1843" w:hanging="425"/>
        <w:rPr>
          <w:rFonts w:ascii="ArialMT" w:hAnsi="ArialMT" w:cs="ArialMT"/>
          <w:color w:val="000000"/>
          <w:lang w:val="en-US"/>
        </w:rPr>
      </w:pPr>
    </w:p>
    <w:p w:rsidR="0064468D" w:rsidRPr="00CC4760" w:rsidRDefault="0064468D" w:rsidP="00C5236E">
      <w:pPr>
        <w:ind w:left="1843" w:hanging="425"/>
        <w:rPr>
          <w:color w:val="000000"/>
        </w:rPr>
      </w:pPr>
    </w:p>
    <w:p w:rsidR="00C5236E" w:rsidRPr="00BF010B" w:rsidRDefault="00C5236E" w:rsidP="00C5236E">
      <w:pPr>
        <w:pStyle w:val="Default"/>
        <w:rPr>
          <w:lang w:val="en-ZA"/>
        </w:rPr>
      </w:pPr>
    </w:p>
    <w:p w:rsidR="00C5236E" w:rsidRPr="006460B0" w:rsidRDefault="00C5236E" w:rsidP="00C5236E">
      <w:pPr>
        <w:ind w:left="1418" w:hanging="709"/>
        <w:rPr>
          <w:rFonts w:ascii="Arial" w:hAnsi="Arial" w:cs="Arial"/>
          <w:bCs/>
          <w:lang w:eastAsia="en-ZA"/>
        </w:rPr>
      </w:pPr>
      <w:r w:rsidRPr="006460B0">
        <w:rPr>
          <w:rFonts w:ascii="Arial" w:hAnsi="Arial" w:cs="Arial"/>
        </w:rPr>
        <w:lastRenderedPageBreak/>
        <w:tab/>
      </w:r>
      <w:r w:rsidRPr="006460B0">
        <w:rPr>
          <w:rFonts w:ascii="Arial" w:hAnsi="Arial" w:cs="Arial"/>
          <w:b/>
          <w:bCs/>
          <w:lang w:eastAsia="en-ZA"/>
        </w:rPr>
        <w:t>‘Residential property”</w:t>
      </w:r>
      <w:r w:rsidRPr="006460B0">
        <w:rPr>
          <w:rFonts w:ascii="Arial" w:hAnsi="Arial" w:cs="Arial"/>
          <w:bCs/>
          <w:lang w:eastAsia="en-ZA"/>
        </w:rPr>
        <w:t xml:space="preserve"> means a property included in a valuation roll in terms of Section 48 (2) (b) of the Act as residential.  </w:t>
      </w:r>
    </w:p>
    <w:p w:rsidR="00C5236E" w:rsidRPr="0039274F" w:rsidRDefault="0064468D" w:rsidP="0064468D">
      <w:pPr>
        <w:pStyle w:val="NoSpacing"/>
        <w:rPr>
          <w:rFonts w:ascii="Arial" w:hAnsi="Arial" w:cs="Arial"/>
          <w:bCs/>
          <w:lang w:eastAsia="en-ZA"/>
        </w:rPr>
      </w:pPr>
      <w:r w:rsidRPr="0039274F">
        <w:rPr>
          <w:rFonts w:ascii="Arial" w:hAnsi="Arial" w:cs="Arial"/>
          <w:bCs/>
          <w:lang w:eastAsia="en-ZA"/>
        </w:rPr>
        <w:t xml:space="preserve">                      </w:t>
      </w:r>
      <w:r w:rsidR="00C5236E" w:rsidRPr="0039274F">
        <w:rPr>
          <w:rFonts w:ascii="Arial" w:hAnsi="Arial" w:cs="Arial"/>
          <w:bCs/>
          <w:lang w:eastAsia="en-ZA"/>
        </w:rPr>
        <w:t>“</w:t>
      </w:r>
      <w:r w:rsidR="00C5236E" w:rsidRPr="0039274F">
        <w:rPr>
          <w:rFonts w:ascii="Arial" w:hAnsi="Arial" w:cs="Arial"/>
          <w:b/>
          <w:bCs/>
          <w:lang w:eastAsia="en-ZA"/>
        </w:rPr>
        <w:t>Resort”</w:t>
      </w:r>
      <w:r w:rsidR="00C5236E" w:rsidRPr="0039274F">
        <w:rPr>
          <w:rFonts w:ascii="Arial" w:hAnsi="Arial" w:cs="Arial"/>
          <w:bCs/>
          <w:lang w:eastAsia="en-ZA"/>
        </w:rPr>
        <w:t xml:space="preserve"> a rural place visited for holidays or recreation</w:t>
      </w:r>
    </w:p>
    <w:p w:rsidR="0064468D" w:rsidRPr="0039274F" w:rsidRDefault="0064468D" w:rsidP="0064468D">
      <w:pPr>
        <w:pStyle w:val="NoSpacing"/>
        <w:rPr>
          <w:rFonts w:ascii="Arial" w:hAnsi="Arial" w:cs="Arial"/>
          <w:bCs/>
          <w:lang w:eastAsia="en-ZA"/>
        </w:rPr>
      </w:pPr>
    </w:p>
    <w:p w:rsidR="00C5236E" w:rsidRPr="0039274F" w:rsidRDefault="00C5236E" w:rsidP="0064468D">
      <w:pPr>
        <w:pStyle w:val="NoSpacing"/>
        <w:ind w:left="1418"/>
        <w:rPr>
          <w:rFonts w:ascii="Arial" w:hAnsi="Arial" w:cs="Arial"/>
          <w:bCs/>
          <w:lang w:eastAsia="en-ZA"/>
        </w:rPr>
      </w:pPr>
      <w:r w:rsidRPr="0039274F">
        <w:rPr>
          <w:rFonts w:ascii="Arial" w:hAnsi="Arial" w:cs="Arial"/>
          <w:b/>
          <w:bCs/>
          <w:lang w:eastAsia="en-ZA"/>
        </w:rPr>
        <w:t>Sectional Titles</w:t>
      </w:r>
      <w:r w:rsidRPr="0039274F">
        <w:rPr>
          <w:rFonts w:ascii="Arial" w:hAnsi="Arial" w:cs="Arial"/>
          <w:bCs/>
          <w:lang w:eastAsia="en-ZA"/>
        </w:rPr>
        <w:t xml:space="preserve"> Act The Sectional Titles Act, 1986 (Act No. 95 of 1986)  </w:t>
      </w:r>
    </w:p>
    <w:p w:rsidR="0064468D" w:rsidRPr="0039274F" w:rsidRDefault="0064468D" w:rsidP="0064468D">
      <w:pPr>
        <w:pStyle w:val="NoSpacing"/>
        <w:ind w:left="1418"/>
        <w:rPr>
          <w:rFonts w:ascii="Arial" w:hAnsi="Arial" w:cs="Arial"/>
          <w:bCs/>
          <w:lang w:eastAsia="en-ZA"/>
        </w:rPr>
      </w:pPr>
    </w:p>
    <w:p w:rsidR="00C5236E" w:rsidRPr="0039274F" w:rsidRDefault="00C5236E" w:rsidP="0064468D">
      <w:pPr>
        <w:pStyle w:val="NoSpacing"/>
        <w:ind w:left="1418"/>
        <w:rPr>
          <w:rFonts w:ascii="Arial" w:hAnsi="Arial" w:cs="Arial"/>
          <w:bCs/>
          <w:lang w:eastAsia="en-ZA"/>
        </w:rPr>
      </w:pPr>
      <w:r w:rsidRPr="0039274F">
        <w:rPr>
          <w:rFonts w:ascii="Arial" w:hAnsi="Arial" w:cs="Arial"/>
          <w:b/>
          <w:bCs/>
          <w:lang w:eastAsia="en-ZA"/>
        </w:rPr>
        <w:t>Sectional Title Scheme A</w:t>
      </w:r>
      <w:r w:rsidRPr="0039274F">
        <w:rPr>
          <w:rFonts w:ascii="Arial" w:hAnsi="Arial" w:cs="Arial"/>
          <w:bCs/>
          <w:lang w:eastAsia="en-ZA"/>
        </w:rPr>
        <w:t xml:space="preserve"> scheme defined in Section 1 of the Sectional Titles Act; </w:t>
      </w:r>
    </w:p>
    <w:p w:rsidR="0064468D" w:rsidRPr="0039274F" w:rsidRDefault="0064468D" w:rsidP="0064468D">
      <w:pPr>
        <w:pStyle w:val="NoSpacing"/>
        <w:ind w:left="1418"/>
        <w:rPr>
          <w:rFonts w:ascii="Arial" w:hAnsi="Arial" w:cs="Arial"/>
          <w:bCs/>
          <w:lang w:eastAsia="en-ZA"/>
        </w:rPr>
      </w:pPr>
    </w:p>
    <w:p w:rsidR="00C5236E" w:rsidRPr="0039274F" w:rsidRDefault="00C5236E" w:rsidP="0064468D">
      <w:pPr>
        <w:pStyle w:val="NoSpacing"/>
        <w:ind w:left="1418"/>
        <w:rPr>
          <w:rFonts w:ascii="Arial" w:hAnsi="Arial" w:cs="Arial"/>
          <w:bCs/>
          <w:lang w:eastAsia="en-ZA"/>
        </w:rPr>
      </w:pPr>
      <w:r w:rsidRPr="0039274F">
        <w:rPr>
          <w:rFonts w:ascii="Arial" w:hAnsi="Arial" w:cs="Arial"/>
          <w:bCs/>
          <w:lang w:eastAsia="en-ZA"/>
        </w:rPr>
        <w:t>Sectional title unit A unit defined in Section 1 of the Sectional Titles Act;</w:t>
      </w:r>
    </w:p>
    <w:p w:rsidR="0064468D" w:rsidRPr="0039274F" w:rsidRDefault="0064468D" w:rsidP="0064468D">
      <w:pPr>
        <w:pStyle w:val="NoSpacing"/>
        <w:ind w:left="1418"/>
        <w:rPr>
          <w:rFonts w:ascii="Arial" w:hAnsi="Arial" w:cs="Arial"/>
          <w:bCs/>
          <w:lang w:eastAsia="en-ZA"/>
        </w:rPr>
      </w:pPr>
    </w:p>
    <w:p w:rsidR="00C5236E" w:rsidRPr="0039274F" w:rsidRDefault="00C5236E" w:rsidP="0039274F">
      <w:pPr>
        <w:pStyle w:val="NoSpacing"/>
        <w:ind w:left="1418"/>
        <w:rPr>
          <w:rFonts w:ascii="Arial" w:hAnsi="Arial" w:cs="Arial"/>
          <w:bCs/>
          <w:lang w:eastAsia="en-ZA"/>
        </w:rPr>
      </w:pPr>
      <w:r w:rsidRPr="0039274F">
        <w:rPr>
          <w:rFonts w:ascii="Arial" w:hAnsi="Arial" w:cs="Arial"/>
          <w:b/>
          <w:bCs/>
          <w:lang w:eastAsia="en-ZA"/>
        </w:rPr>
        <w:t>Smallholding </w:t>
      </w:r>
      <w:r w:rsidRPr="0039274F">
        <w:rPr>
          <w:rFonts w:ascii="Arial" w:hAnsi="Arial" w:cs="Arial"/>
          <w:bCs/>
          <w:lang w:eastAsia="en-ZA"/>
        </w:rPr>
        <w:t>means a property recorded in the Deeds Registry</w:t>
      </w:r>
      <w:r w:rsidR="0039274F">
        <w:rPr>
          <w:rFonts w:ascii="Arial" w:hAnsi="Arial" w:cs="Arial"/>
          <w:bCs/>
          <w:lang w:eastAsia="en-ZA"/>
        </w:rPr>
        <w:t xml:space="preserve"> Data base </w:t>
      </w:r>
      <w:r w:rsidRPr="0039274F">
        <w:rPr>
          <w:rFonts w:ascii="Arial" w:hAnsi="Arial" w:cs="Arial"/>
          <w:bCs/>
          <w:lang w:eastAsia="en-ZA"/>
        </w:rPr>
        <w:t>as being an Erf and zoned for Agricultural</w:t>
      </w:r>
      <w:r w:rsidR="0039274F">
        <w:rPr>
          <w:rFonts w:ascii="Arial" w:hAnsi="Arial" w:cs="Arial"/>
          <w:bCs/>
          <w:lang w:eastAsia="en-ZA"/>
        </w:rPr>
        <w:t xml:space="preserve"> </w:t>
      </w:r>
      <w:r w:rsidRPr="0039274F">
        <w:rPr>
          <w:rFonts w:ascii="Arial" w:hAnsi="Arial" w:cs="Arial"/>
          <w:bCs/>
          <w:lang w:eastAsia="en-ZA"/>
        </w:rPr>
        <w:t xml:space="preserve">usage in terms of an adopted Town Planning Scheme.  </w:t>
      </w:r>
    </w:p>
    <w:p w:rsidR="0064468D" w:rsidRPr="0039274F" w:rsidRDefault="0064468D" w:rsidP="0064468D">
      <w:pPr>
        <w:pStyle w:val="NoSpacing"/>
        <w:ind w:left="1418"/>
        <w:rPr>
          <w:rFonts w:ascii="Arial" w:hAnsi="Arial" w:cs="Arial"/>
          <w:b/>
          <w:bCs/>
          <w:lang w:eastAsia="en-ZA"/>
        </w:rPr>
      </w:pPr>
    </w:p>
    <w:p w:rsidR="00C5236E" w:rsidRPr="0039274F" w:rsidRDefault="00C5236E" w:rsidP="0064468D">
      <w:pPr>
        <w:pStyle w:val="NoSpacing"/>
        <w:ind w:left="1418"/>
        <w:rPr>
          <w:rFonts w:ascii="Arial" w:hAnsi="Arial" w:cs="Arial"/>
          <w:bCs/>
          <w:lang w:eastAsia="en-ZA"/>
        </w:rPr>
      </w:pPr>
      <w:r w:rsidRPr="0039274F">
        <w:rPr>
          <w:rFonts w:ascii="Arial" w:hAnsi="Arial" w:cs="Arial"/>
          <w:b/>
          <w:bCs/>
          <w:lang w:eastAsia="en-ZA"/>
        </w:rPr>
        <w:t>Small, very small and micro business</w:t>
      </w:r>
      <w:r w:rsidRPr="0039274F">
        <w:rPr>
          <w:rFonts w:ascii="Arial" w:hAnsi="Arial" w:cs="Arial"/>
          <w:bCs/>
          <w:lang w:eastAsia="en-ZA"/>
        </w:rPr>
        <w:t> means businesses as per the criteria set by the National Small Business Act No. 102 of 1996 schedule; </w:t>
      </w:r>
    </w:p>
    <w:p w:rsidR="0064468D" w:rsidRPr="0039274F" w:rsidRDefault="0064468D" w:rsidP="0064468D">
      <w:pPr>
        <w:pStyle w:val="NoSpacing"/>
        <w:ind w:left="1418"/>
        <w:rPr>
          <w:rFonts w:ascii="Arial" w:hAnsi="Arial" w:cs="Arial"/>
          <w:bCs/>
          <w:lang w:eastAsia="en-ZA"/>
        </w:rPr>
      </w:pPr>
    </w:p>
    <w:p w:rsidR="00C5236E" w:rsidRPr="0039274F" w:rsidRDefault="00C5236E" w:rsidP="0039274F">
      <w:pPr>
        <w:pStyle w:val="NoSpacing"/>
        <w:ind w:left="1418"/>
        <w:rPr>
          <w:rFonts w:ascii="Arial" w:hAnsi="Arial" w:cs="Arial"/>
          <w:bCs/>
          <w:lang w:eastAsia="en-ZA"/>
        </w:rPr>
      </w:pPr>
      <w:r w:rsidRPr="0039274F">
        <w:rPr>
          <w:rFonts w:ascii="Arial" w:hAnsi="Arial" w:cs="Arial"/>
          <w:b/>
          <w:bCs/>
          <w:lang w:eastAsia="en-ZA"/>
        </w:rPr>
        <w:t>Socio-economic development’</w:t>
      </w:r>
      <w:r w:rsidRPr="0039274F">
        <w:rPr>
          <w:rFonts w:ascii="Arial" w:hAnsi="Arial" w:cs="Arial"/>
          <w:bCs/>
          <w:lang w:eastAsia="en-ZA"/>
        </w:rPr>
        <w:t xml:space="preserve"> is defined as "development that meets the needs of the present without compromising the ability of </w:t>
      </w:r>
      <w:r w:rsidR="0064468D" w:rsidRPr="0039274F">
        <w:rPr>
          <w:rFonts w:ascii="Arial" w:hAnsi="Arial" w:cs="Arial"/>
          <w:bCs/>
          <w:lang w:eastAsia="en-ZA"/>
        </w:rPr>
        <w:t>future generations to meet their</w:t>
      </w:r>
      <w:r w:rsidR="0039274F">
        <w:rPr>
          <w:rFonts w:ascii="Arial" w:hAnsi="Arial" w:cs="Arial"/>
          <w:bCs/>
          <w:lang w:eastAsia="en-ZA"/>
        </w:rPr>
        <w:t xml:space="preserve"> </w:t>
      </w:r>
      <w:r w:rsidRPr="0039274F">
        <w:rPr>
          <w:rFonts w:ascii="Arial" w:hAnsi="Arial" w:cs="Arial"/>
          <w:bCs/>
          <w:lang w:eastAsia="en-ZA"/>
        </w:rPr>
        <w:t>own needs". Sustainable development encompasses a balance between three pillars, namely economy, environment and society. The requirements of each must be considered and integrated into all activities to achieve sustainability.</w:t>
      </w:r>
    </w:p>
    <w:p w:rsidR="0064468D" w:rsidRPr="0039274F" w:rsidRDefault="0064468D" w:rsidP="0064468D">
      <w:pPr>
        <w:pStyle w:val="NoSpacing"/>
        <w:ind w:left="1418"/>
        <w:rPr>
          <w:rFonts w:ascii="Arial" w:hAnsi="Arial" w:cs="Arial"/>
          <w:bCs/>
          <w:lang w:eastAsia="en-ZA"/>
        </w:rPr>
      </w:pPr>
    </w:p>
    <w:p w:rsidR="00C5236E" w:rsidRPr="0039274F" w:rsidRDefault="00C5236E" w:rsidP="0064468D">
      <w:pPr>
        <w:pStyle w:val="NoSpacing"/>
        <w:ind w:left="1418"/>
        <w:rPr>
          <w:rFonts w:ascii="Arial" w:hAnsi="Arial" w:cs="Arial"/>
          <w:bCs/>
          <w:lang w:eastAsia="en-ZA"/>
        </w:rPr>
      </w:pPr>
      <w:r w:rsidRPr="0039274F">
        <w:rPr>
          <w:rFonts w:ascii="Arial" w:hAnsi="Arial" w:cs="Arial"/>
          <w:b/>
          <w:bCs/>
          <w:lang w:eastAsia="en-ZA"/>
        </w:rPr>
        <w:t>Special rating</w:t>
      </w:r>
      <w:r w:rsidRPr="0039274F">
        <w:rPr>
          <w:rFonts w:ascii="Arial" w:hAnsi="Arial" w:cs="Arial"/>
          <w:bCs/>
          <w:lang w:eastAsia="en-ZA"/>
        </w:rPr>
        <w:t> area means a geographic area within which property owners agree to pay for certain servicessupplementary to thos</w:t>
      </w:r>
      <w:r w:rsidR="0039274F">
        <w:rPr>
          <w:rFonts w:ascii="Arial" w:hAnsi="Arial" w:cs="Arial"/>
          <w:bCs/>
          <w:lang w:eastAsia="en-ZA"/>
        </w:rPr>
        <w:t>e supplied by the municipality.</w:t>
      </w:r>
      <w:r w:rsidRPr="0039274F">
        <w:rPr>
          <w:rFonts w:ascii="Arial" w:hAnsi="Arial" w:cs="Arial"/>
          <w:bCs/>
          <w:lang w:eastAsia="en-ZA"/>
        </w:rPr>
        <w:t>These services are financed by levying an additional ra</w:t>
      </w:r>
      <w:r w:rsidR="0064468D" w:rsidRPr="0039274F">
        <w:rPr>
          <w:rFonts w:ascii="Arial" w:hAnsi="Arial" w:cs="Arial"/>
          <w:bCs/>
          <w:lang w:eastAsia="en-ZA"/>
        </w:rPr>
        <w:t>te, which is added to the rate i</w:t>
      </w:r>
      <w:r w:rsidRPr="0039274F">
        <w:rPr>
          <w:rFonts w:ascii="Arial" w:hAnsi="Arial" w:cs="Arial"/>
          <w:bCs/>
          <w:lang w:eastAsia="en-ZA"/>
        </w:rPr>
        <w:t xml:space="preserve">n a rand of the property owners within the precinct;  </w:t>
      </w:r>
    </w:p>
    <w:p w:rsidR="0064468D" w:rsidRPr="0039274F" w:rsidRDefault="0064468D" w:rsidP="0064468D">
      <w:pPr>
        <w:pStyle w:val="NoSpacing"/>
        <w:ind w:left="1418"/>
        <w:rPr>
          <w:rFonts w:ascii="Arial" w:hAnsi="Arial" w:cs="Arial"/>
          <w:bCs/>
          <w:lang w:eastAsia="en-ZA"/>
        </w:rPr>
      </w:pPr>
    </w:p>
    <w:p w:rsidR="00C5236E" w:rsidRPr="0039274F" w:rsidRDefault="00C5236E" w:rsidP="0064468D">
      <w:pPr>
        <w:pStyle w:val="NoSpacing"/>
        <w:ind w:left="1418"/>
        <w:rPr>
          <w:rFonts w:ascii="Arial" w:hAnsi="Arial" w:cs="Arial"/>
          <w:bCs/>
          <w:lang w:eastAsia="en-ZA"/>
        </w:rPr>
      </w:pPr>
      <w:r w:rsidRPr="0039274F">
        <w:rPr>
          <w:rFonts w:ascii="Arial" w:hAnsi="Arial" w:cs="Arial"/>
          <w:b/>
          <w:bCs/>
          <w:lang w:eastAsia="en-ZA"/>
        </w:rPr>
        <w:t>Specified public benefit</w:t>
      </w:r>
      <w:r w:rsidRPr="0039274F">
        <w:rPr>
          <w:rFonts w:ascii="Arial" w:hAnsi="Arial" w:cs="Arial"/>
          <w:bCs/>
          <w:lang w:eastAsia="en-ZA"/>
        </w:rPr>
        <w:t xml:space="preserve"> activity An activity listed in item 1 (welfare and humanitarian), item 2 (health care) and item 4  (education and development) of Part 1 of the Ninth  Schedule to the Income Tax Act. </w:t>
      </w:r>
    </w:p>
    <w:p w:rsidR="0064468D" w:rsidRPr="0039274F" w:rsidRDefault="0064468D" w:rsidP="0064468D">
      <w:pPr>
        <w:pStyle w:val="NoSpacing"/>
        <w:ind w:left="1418"/>
        <w:rPr>
          <w:rFonts w:ascii="Arial" w:hAnsi="Arial" w:cs="Arial"/>
          <w:bCs/>
          <w:lang w:eastAsia="en-ZA"/>
        </w:rPr>
      </w:pPr>
    </w:p>
    <w:p w:rsidR="00C5236E" w:rsidRPr="0039274F" w:rsidRDefault="00C5236E" w:rsidP="0064468D">
      <w:pPr>
        <w:pStyle w:val="NoSpacing"/>
        <w:ind w:left="1418"/>
        <w:rPr>
          <w:rFonts w:ascii="Arial" w:hAnsi="Arial" w:cs="Arial"/>
          <w:bCs/>
          <w:lang w:eastAsia="en-ZA"/>
        </w:rPr>
      </w:pPr>
      <w:r w:rsidRPr="0039274F">
        <w:rPr>
          <w:rFonts w:ascii="Arial" w:hAnsi="Arial" w:cs="Arial"/>
          <w:b/>
          <w:bCs/>
          <w:lang w:eastAsia="en-ZA"/>
        </w:rPr>
        <w:t>Squatters/Dwellers”</w:t>
      </w:r>
      <w:r w:rsidRPr="0039274F">
        <w:rPr>
          <w:rFonts w:ascii="Arial" w:hAnsi="Arial" w:cs="Arial"/>
          <w:bCs/>
          <w:lang w:eastAsia="en-ZA"/>
        </w:rPr>
        <w:t xml:space="preserve"> means the workers previously employed by agricultural owners currently residing on the agricultural property and has not yet been addressed or the particular cases not yet finalized in terms of the Extension of Security of Tenure Act 62 of 1997.</w:t>
      </w:r>
    </w:p>
    <w:p w:rsidR="0064468D" w:rsidRPr="0039274F" w:rsidRDefault="0064468D" w:rsidP="0064468D">
      <w:pPr>
        <w:pStyle w:val="NoSpacing"/>
        <w:ind w:left="1418"/>
        <w:rPr>
          <w:rFonts w:ascii="Arial" w:hAnsi="Arial" w:cs="Arial"/>
          <w:bCs/>
          <w:lang w:eastAsia="en-ZA"/>
        </w:rPr>
      </w:pPr>
    </w:p>
    <w:p w:rsidR="00C5236E" w:rsidRPr="0039274F" w:rsidRDefault="00C5236E" w:rsidP="0064468D">
      <w:pPr>
        <w:pStyle w:val="NoSpacing"/>
        <w:ind w:left="1418"/>
        <w:rPr>
          <w:rFonts w:ascii="Arial" w:hAnsi="Arial" w:cs="Arial"/>
          <w:bCs/>
          <w:lang w:eastAsia="en-ZA"/>
        </w:rPr>
      </w:pPr>
      <w:r w:rsidRPr="0039274F">
        <w:rPr>
          <w:rFonts w:ascii="Arial" w:hAnsi="Arial" w:cs="Arial"/>
          <w:b/>
          <w:bCs/>
          <w:lang w:eastAsia="en-ZA"/>
        </w:rPr>
        <w:t>Vacant </w:t>
      </w:r>
      <w:r w:rsidR="0039274F" w:rsidRPr="0039274F">
        <w:rPr>
          <w:rFonts w:ascii="Arial" w:hAnsi="Arial" w:cs="Arial"/>
          <w:b/>
          <w:bCs/>
          <w:lang w:eastAsia="en-ZA"/>
        </w:rPr>
        <w:t>Land</w:t>
      </w:r>
      <w:r w:rsidR="0039274F" w:rsidRPr="0039274F">
        <w:rPr>
          <w:rFonts w:ascii="Arial" w:hAnsi="Arial" w:cs="Arial"/>
          <w:bCs/>
          <w:lang w:eastAsia="en-ZA"/>
        </w:rPr>
        <w:t> means</w:t>
      </w:r>
      <w:r w:rsidRPr="0039274F">
        <w:rPr>
          <w:rFonts w:ascii="Arial" w:hAnsi="Arial" w:cs="Arial"/>
          <w:bCs/>
          <w:lang w:eastAsia="en-ZA"/>
        </w:rPr>
        <w:t> land, irrespective of zoning or category and </w:t>
      </w:r>
      <w:r w:rsidR="0039274F" w:rsidRPr="0039274F">
        <w:rPr>
          <w:rFonts w:ascii="Arial" w:hAnsi="Arial" w:cs="Arial"/>
          <w:bCs/>
          <w:lang w:eastAsia="en-ZA"/>
        </w:rPr>
        <w:t>in respect</w:t>
      </w:r>
      <w:r w:rsidRPr="0039274F">
        <w:rPr>
          <w:rFonts w:ascii="Arial" w:hAnsi="Arial" w:cs="Arial"/>
          <w:bCs/>
          <w:lang w:eastAsia="en-ZA"/>
        </w:rPr>
        <w:t> of which the</w:t>
      </w:r>
      <w:r w:rsidR="0064468D" w:rsidRPr="0039274F">
        <w:rPr>
          <w:rFonts w:ascii="Arial" w:hAnsi="Arial" w:cs="Arial"/>
          <w:bCs/>
          <w:lang w:eastAsia="en-ZA"/>
        </w:rPr>
        <w:t xml:space="preserve"> municipality has not issued an </w:t>
      </w:r>
      <w:r w:rsidRPr="0039274F">
        <w:rPr>
          <w:rFonts w:ascii="Arial" w:hAnsi="Arial" w:cs="Arial"/>
          <w:bCs/>
          <w:lang w:eastAsia="en-ZA"/>
        </w:rPr>
        <w:t xml:space="preserve">occupancy certificate, being unimproved urban land. </w:t>
      </w:r>
    </w:p>
    <w:p w:rsidR="0064468D" w:rsidRPr="0039274F" w:rsidRDefault="0064468D" w:rsidP="0064468D">
      <w:pPr>
        <w:pStyle w:val="NoSpacing"/>
        <w:ind w:left="1418"/>
        <w:rPr>
          <w:rFonts w:ascii="Arial" w:hAnsi="Arial" w:cs="Arial"/>
          <w:bCs/>
          <w:lang w:eastAsia="en-ZA"/>
        </w:rPr>
      </w:pPr>
    </w:p>
    <w:p w:rsidR="00C5236E" w:rsidRPr="0039274F" w:rsidRDefault="00C5236E" w:rsidP="0064468D">
      <w:pPr>
        <w:pStyle w:val="NoSpacing"/>
        <w:ind w:left="1418"/>
        <w:rPr>
          <w:rFonts w:ascii="Arial" w:hAnsi="Arial" w:cs="Arial"/>
          <w:bCs/>
          <w:lang w:eastAsia="en-ZA"/>
        </w:rPr>
      </w:pPr>
      <w:r w:rsidRPr="0039274F">
        <w:rPr>
          <w:rFonts w:ascii="Arial" w:hAnsi="Arial" w:cs="Arial"/>
          <w:b/>
          <w:bCs/>
          <w:lang w:eastAsia="en-ZA"/>
        </w:rPr>
        <w:t xml:space="preserve">Protected areas </w:t>
      </w:r>
      <w:r w:rsidRPr="0039274F">
        <w:rPr>
          <w:rFonts w:ascii="Arial" w:hAnsi="Arial" w:cs="Arial"/>
          <w:bCs/>
          <w:lang w:eastAsia="en-ZA"/>
        </w:rPr>
        <w:t>means properties that are situated within the boundaries of Kruger National Park excluding Protected Areas Act, or of a national botanical garden within the meaning of the National Environmental Management: Biodiversity Act, 2004, which are not developed or used for commercial</w:t>
      </w:r>
    </w:p>
    <w:p w:rsidR="0064468D" w:rsidRDefault="00C5236E" w:rsidP="0039274F">
      <w:pPr>
        <w:pStyle w:val="NoSpacing"/>
        <w:ind w:left="1418"/>
        <w:rPr>
          <w:rFonts w:ascii="Arial" w:hAnsi="Arial" w:cs="Arial"/>
          <w:bCs/>
          <w:lang w:eastAsia="en-ZA"/>
        </w:rPr>
      </w:pPr>
      <w:r w:rsidRPr="0039274F">
        <w:rPr>
          <w:rFonts w:ascii="Arial" w:hAnsi="Arial" w:cs="Arial"/>
          <w:bCs/>
          <w:lang w:eastAsia="en-ZA"/>
        </w:rPr>
        <w:t xml:space="preserve">All other terms are used within the context of the definitions contained in the Local Government: Municipal Property </w:t>
      </w:r>
      <w:r w:rsidR="0039274F">
        <w:rPr>
          <w:rFonts w:ascii="Arial" w:hAnsi="Arial" w:cs="Arial"/>
          <w:bCs/>
          <w:lang w:eastAsia="en-ZA"/>
        </w:rPr>
        <w:t>Rates Act, 2004 (No. 6 of 2004)</w:t>
      </w:r>
    </w:p>
    <w:p w:rsidR="00604A46" w:rsidRDefault="00604A46" w:rsidP="0039274F">
      <w:pPr>
        <w:pStyle w:val="NoSpacing"/>
        <w:ind w:left="1418"/>
        <w:rPr>
          <w:rFonts w:ascii="Arial" w:hAnsi="Arial" w:cs="Arial"/>
          <w:bCs/>
          <w:lang w:eastAsia="en-ZA"/>
        </w:rPr>
      </w:pPr>
    </w:p>
    <w:p w:rsidR="00604A46" w:rsidRDefault="00604A46" w:rsidP="0039274F">
      <w:pPr>
        <w:pStyle w:val="NoSpacing"/>
        <w:ind w:left="1418"/>
        <w:rPr>
          <w:rFonts w:ascii="Arial" w:hAnsi="Arial" w:cs="Arial"/>
          <w:bCs/>
          <w:lang w:eastAsia="en-ZA"/>
        </w:rPr>
      </w:pPr>
    </w:p>
    <w:p w:rsidR="00604A46" w:rsidRDefault="00604A46" w:rsidP="0039274F">
      <w:pPr>
        <w:pStyle w:val="NoSpacing"/>
        <w:ind w:left="1418"/>
        <w:rPr>
          <w:rFonts w:ascii="Arial" w:hAnsi="Arial" w:cs="Arial"/>
          <w:bCs/>
          <w:lang w:eastAsia="en-ZA"/>
        </w:rPr>
      </w:pPr>
    </w:p>
    <w:p w:rsidR="00604A46" w:rsidRDefault="00604A46" w:rsidP="0039274F">
      <w:pPr>
        <w:pStyle w:val="NoSpacing"/>
        <w:ind w:left="1418"/>
        <w:rPr>
          <w:rFonts w:ascii="Arial" w:hAnsi="Arial" w:cs="Arial"/>
          <w:bCs/>
          <w:lang w:eastAsia="en-ZA"/>
        </w:rPr>
      </w:pPr>
    </w:p>
    <w:p w:rsidR="00604A46" w:rsidRDefault="00604A46" w:rsidP="00604A46">
      <w:pPr>
        <w:pStyle w:val="NoSpacing"/>
        <w:numPr>
          <w:ilvl w:val="0"/>
          <w:numId w:val="2"/>
        </w:numPr>
        <w:rPr>
          <w:rFonts w:ascii="Arial" w:hAnsi="Arial" w:cs="Arial"/>
          <w:bCs/>
          <w:lang w:eastAsia="en-ZA"/>
        </w:rPr>
      </w:pPr>
      <w:r>
        <w:rPr>
          <w:rFonts w:ascii="Arial" w:hAnsi="Arial" w:cs="Arial"/>
          <w:bCs/>
          <w:lang w:eastAsia="en-ZA"/>
        </w:rPr>
        <w:lastRenderedPageBreak/>
        <w:t>Property Category uses</w:t>
      </w:r>
    </w:p>
    <w:p w:rsidR="0039274F" w:rsidRPr="006460B0" w:rsidRDefault="0039274F" w:rsidP="00604A46">
      <w:pPr>
        <w:pStyle w:val="CM28"/>
        <w:spacing w:line="360" w:lineRule="auto"/>
        <w:jc w:val="both"/>
        <w:rPr>
          <w:rFonts w:ascii="Arial" w:hAnsi="Arial" w:cs="Arial"/>
          <w:b/>
          <w:noProof/>
          <w:sz w:val="22"/>
          <w:szCs w:val="22"/>
          <w:lang w:val="en-ZA"/>
        </w:rPr>
      </w:pPr>
    </w:p>
    <w:p w:rsidR="0039274F" w:rsidRPr="006460B0" w:rsidRDefault="00604A46" w:rsidP="0039274F">
      <w:pPr>
        <w:pStyle w:val="CM28"/>
        <w:spacing w:line="360" w:lineRule="auto"/>
        <w:ind w:left="720"/>
        <w:jc w:val="both"/>
        <w:rPr>
          <w:rFonts w:ascii="Arial" w:hAnsi="Arial" w:cs="Arial"/>
          <w:noProof/>
          <w:sz w:val="22"/>
          <w:szCs w:val="22"/>
          <w:lang w:val="en-ZA"/>
        </w:rPr>
      </w:pPr>
      <w:r>
        <w:rPr>
          <w:rFonts w:ascii="Arial" w:hAnsi="Arial" w:cs="Arial"/>
          <w:noProof/>
          <w:sz w:val="22"/>
          <w:szCs w:val="22"/>
          <w:lang w:val="en-ZA"/>
        </w:rPr>
        <w:t>3</w:t>
      </w:r>
      <w:r w:rsidR="0039274F">
        <w:rPr>
          <w:rFonts w:ascii="Arial" w:hAnsi="Arial" w:cs="Arial"/>
          <w:noProof/>
          <w:sz w:val="22"/>
          <w:szCs w:val="22"/>
          <w:lang w:val="en-ZA"/>
        </w:rPr>
        <w:t>.1</w:t>
      </w:r>
      <w:r w:rsidR="0039274F" w:rsidRPr="006460B0">
        <w:rPr>
          <w:rFonts w:ascii="Arial" w:hAnsi="Arial" w:cs="Arial"/>
          <w:noProof/>
          <w:sz w:val="22"/>
          <w:szCs w:val="22"/>
          <w:lang w:val="en-ZA"/>
        </w:rPr>
        <w:tab/>
        <w:t>Rates on properties category will be levied on properties uses:</w:t>
      </w:r>
    </w:p>
    <w:p w:rsidR="0039274F" w:rsidRPr="001B79EB" w:rsidRDefault="0039274F" w:rsidP="0039274F">
      <w:pPr>
        <w:spacing w:line="360" w:lineRule="auto"/>
        <w:ind w:left="851"/>
        <w:rPr>
          <w:rFonts w:ascii="ArialMT" w:hAnsi="ArialMT" w:cs="ArialMT"/>
          <w:color w:val="000000"/>
          <w:lang w:val="en-US"/>
        </w:rPr>
      </w:pPr>
      <w:r w:rsidRPr="001B79EB">
        <w:rPr>
          <w:rFonts w:ascii="Arial" w:hAnsi="Arial" w:cs="Arial"/>
        </w:rPr>
        <w:t xml:space="preserve">(a) </w:t>
      </w:r>
      <w:r w:rsidRPr="001B79EB">
        <w:rPr>
          <w:rFonts w:ascii="ArialMT" w:hAnsi="ArialMT" w:cs="ArialMT"/>
          <w:color w:val="000000"/>
          <w:lang w:val="en-US"/>
        </w:rPr>
        <w:t>use of the property;</w:t>
      </w:r>
    </w:p>
    <w:p w:rsidR="0039274F" w:rsidRPr="001B79EB" w:rsidRDefault="0039274F" w:rsidP="0039274F">
      <w:pPr>
        <w:spacing w:line="360" w:lineRule="auto"/>
        <w:ind w:left="851"/>
        <w:rPr>
          <w:rFonts w:ascii="ArialMT" w:hAnsi="ArialMT" w:cs="ArialMT"/>
          <w:color w:val="000000"/>
          <w:lang w:val="en-US"/>
        </w:rPr>
      </w:pPr>
      <w:r w:rsidRPr="001B79EB">
        <w:rPr>
          <w:rFonts w:ascii="ArialMT" w:hAnsi="ArialMT" w:cs="ArialMT"/>
          <w:color w:val="000000"/>
          <w:lang w:val="en-US"/>
        </w:rPr>
        <w:t>(b) permitted use of the property; or</w:t>
      </w:r>
    </w:p>
    <w:p w:rsidR="0039274F" w:rsidRPr="00CC4760" w:rsidRDefault="0039274F" w:rsidP="0039274F">
      <w:pPr>
        <w:pStyle w:val="Default"/>
        <w:spacing w:line="360" w:lineRule="auto"/>
        <w:ind w:left="851"/>
        <w:jc w:val="both"/>
        <w:rPr>
          <w:rFonts w:ascii="Arial-ItalicMT" w:hAnsi="Arial-ItalicMT" w:cs="Arial-ItalicMT"/>
          <w:i/>
          <w:iCs/>
          <w:sz w:val="22"/>
          <w:szCs w:val="22"/>
        </w:rPr>
      </w:pPr>
      <w:r w:rsidRPr="001B79EB">
        <w:rPr>
          <w:rFonts w:ascii="ArialMT" w:hAnsi="ArialMT" w:cs="ArialMT"/>
          <w:sz w:val="22"/>
          <w:szCs w:val="22"/>
        </w:rPr>
        <w:t xml:space="preserve">(c) combination of </w:t>
      </w:r>
      <w:r w:rsidRPr="001B79EB">
        <w:rPr>
          <w:rFonts w:ascii="Arial-ItalicMT" w:hAnsi="Arial-ItalicMT" w:cs="Arial-ItalicMT"/>
          <w:i/>
          <w:iCs/>
          <w:sz w:val="22"/>
          <w:szCs w:val="22"/>
        </w:rPr>
        <w:t xml:space="preserve">(a) </w:t>
      </w:r>
      <w:r w:rsidRPr="001B79EB">
        <w:rPr>
          <w:rFonts w:ascii="ArialMT" w:hAnsi="ArialMT" w:cs="ArialMT"/>
          <w:sz w:val="22"/>
          <w:szCs w:val="22"/>
        </w:rPr>
        <w:t xml:space="preserve">and </w:t>
      </w:r>
      <w:r w:rsidRPr="001B79EB">
        <w:rPr>
          <w:rFonts w:ascii="Arial-ItalicMT" w:hAnsi="Arial-ItalicMT" w:cs="Arial-ItalicMT"/>
          <w:i/>
          <w:iCs/>
          <w:sz w:val="22"/>
          <w:szCs w:val="22"/>
        </w:rPr>
        <w:t>(b)</w:t>
      </w:r>
    </w:p>
    <w:p w:rsidR="0039274F" w:rsidRPr="00CC4760" w:rsidRDefault="0039274F" w:rsidP="0039274F">
      <w:pPr>
        <w:pStyle w:val="Default"/>
        <w:spacing w:line="360" w:lineRule="auto"/>
        <w:ind w:left="851"/>
        <w:jc w:val="both"/>
        <w:rPr>
          <w:rFonts w:ascii="Arial" w:hAnsi="Arial" w:cs="Arial"/>
          <w:noProof/>
          <w:sz w:val="22"/>
          <w:szCs w:val="22"/>
          <w:lang w:val="en-ZA"/>
        </w:rPr>
      </w:pPr>
    </w:p>
    <w:p w:rsidR="0039274F" w:rsidRPr="006460B0" w:rsidRDefault="00604A46" w:rsidP="0039274F">
      <w:pPr>
        <w:pStyle w:val="CM27"/>
        <w:spacing w:line="360" w:lineRule="auto"/>
        <w:ind w:left="720" w:hanging="720"/>
        <w:jc w:val="both"/>
        <w:rPr>
          <w:rFonts w:ascii="Arial" w:hAnsi="Arial" w:cs="Arial"/>
          <w:noProof/>
          <w:sz w:val="22"/>
          <w:szCs w:val="22"/>
          <w:lang w:val="en-ZA"/>
        </w:rPr>
      </w:pPr>
      <w:r>
        <w:rPr>
          <w:rFonts w:ascii="Arial" w:hAnsi="Arial" w:cs="Arial"/>
          <w:noProof/>
          <w:sz w:val="22"/>
          <w:szCs w:val="22"/>
          <w:lang w:val="en-ZA"/>
        </w:rPr>
        <w:t xml:space="preserve">            3</w:t>
      </w:r>
      <w:r w:rsidR="0039274F">
        <w:rPr>
          <w:rFonts w:ascii="Arial" w:hAnsi="Arial" w:cs="Arial"/>
          <w:noProof/>
          <w:sz w:val="22"/>
          <w:szCs w:val="22"/>
          <w:lang w:val="en-ZA"/>
        </w:rPr>
        <w:t xml:space="preserve">.2  </w:t>
      </w:r>
      <w:r w:rsidR="0039274F" w:rsidRPr="006460B0">
        <w:rPr>
          <w:rFonts w:ascii="Arial" w:hAnsi="Arial" w:cs="Arial"/>
          <w:noProof/>
          <w:sz w:val="22"/>
          <w:szCs w:val="22"/>
          <w:lang w:val="en-ZA"/>
        </w:rPr>
        <w:t>A rate levied on a property assigned to a category of properties used for multiple purposes must be determined by:</w:t>
      </w:r>
    </w:p>
    <w:p w:rsidR="0039274F" w:rsidRPr="006460B0" w:rsidRDefault="0039274F" w:rsidP="0039274F">
      <w:pPr>
        <w:pStyle w:val="CM28"/>
        <w:spacing w:after="0" w:line="360" w:lineRule="auto"/>
        <w:ind w:left="1440" w:hanging="720"/>
        <w:jc w:val="both"/>
        <w:rPr>
          <w:rFonts w:ascii="Arial" w:hAnsi="Arial" w:cs="Arial"/>
          <w:noProof/>
          <w:sz w:val="22"/>
          <w:szCs w:val="22"/>
          <w:lang w:val="en-ZA"/>
        </w:rPr>
      </w:pPr>
      <w:r w:rsidRPr="006460B0">
        <w:rPr>
          <w:rFonts w:ascii="Arial" w:hAnsi="Arial" w:cs="Arial"/>
          <w:noProof/>
          <w:sz w:val="22"/>
          <w:szCs w:val="22"/>
          <w:lang w:val="en-ZA"/>
        </w:rPr>
        <w:t>(a)</w:t>
      </w:r>
      <w:r w:rsidRPr="006460B0">
        <w:rPr>
          <w:rFonts w:ascii="Arial" w:hAnsi="Arial" w:cs="Arial"/>
          <w:noProof/>
          <w:sz w:val="22"/>
          <w:szCs w:val="22"/>
          <w:lang w:val="en-ZA"/>
        </w:rPr>
        <w:tab/>
        <w:t>apportioning the market value of the property, in a manner as may be prescribed to the different purposes for which the property is used; and</w:t>
      </w:r>
    </w:p>
    <w:p w:rsidR="0039274F" w:rsidRPr="006460B0" w:rsidRDefault="0039274F" w:rsidP="0039274F">
      <w:pPr>
        <w:pStyle w:val="CM28"/>
        <w:spacing w:after="0" w:line="360" w:lineRule="auto"/>
        <w:ind w:left="1440" w:hanging="720"/>
        <w:jc w:val="both"/>
        <w:rPr>
          <w:rFonts w:ascii="Arial" w:hAnsi="Arial" w:cs="Arial"/>
          <w:noProof/>
          <w:sz w:val="22"/>
          <w:szCs w:val="22"/>
          <w:lang w:val="en-ZA"/>
        </w:rPr>
      </w:pPr>
      <w:r w:rsidRPr="006460B0">
        <w:rPr>
          <w:rFonts w:ascii="Arial" w:hAnsi="Arial" w:cs="Arial"/>
          <w:noProof/>
          <w:sz w:val="22"/>
          <w:szCs w:val="22"/>
          <w:lang w:val="en-ZA"/>
        </w:rPr>
        <w:t>(b)</w:t>
      </w:r>
      <w:r w:rsidRPr="006460B0">
        <w:rPr>
          <w:rFonts w:ascii="Arial" w:hAnsi="Arial" w:cs="Arial"/>
          <w:noProof/>
          <w:sz w:val="22"/>
          <w:szCs w:val="22"/>
          <w:lang w:val="en-ZA"/>
        </w:rPr>
        <w:tab/>
        <w:t xml:space="preserve">applying the rates applicable to the categories determined by the municipality for properties used for those purposes to the different market value apportionments. </w:t>
      </w:r>
    </w:p>
    <w:p w:rsidR="0039274F" w:rsidRDefault="0039274F" w:rsidP="00604A46">
      <w:pPr>
        <w:pStyle w:val="NoSpacing"/>
        <w:rPr>
          <w:rFonts w:ascii="Arial" w:hAnsi="Arial" w:cs="Arial"/>
          <w:bCs/>
          <w:lang w:eastAsia="en-ZA"/>
        </w:rPr>
      </w:pPr>
    </w:p>
    <w:p w:rsidR="0039274F" w:rsidRDefault="0039274F" w:rsidP="0039274F">
      <w:pPr>
        <w:pStyle w:val="NoSpacing"/>
        <w:ind w:left="1418"/>
        <w:rPr>
          <w:rFonts w:ascii="Arial" w:hAnsi="Arial" w:cs="Arial"/>
          <w:bCs/>
          <w:lang w:eastAsia="en-ZA"/>
        </w:rPr>
      </w:pPr>
    </w:p>
    <w:p w:rsidR="0039274F" w:rsidRPr="0039274F" w:rsidRDefault="0039274F" w:rsidP="0039274F">
      <w:pPr>
        <w:pStyle w:val="NoSpacing"/>
        <w:ind w:left="1418"/>
        <w:rPr>
          <w:rFonts w:ascii="Arial" w:hAnsi="Arial" w:cs="Arial"/>
          <w:bCs/>
          <w:lang w:eastAsia="en-ZA"/>
        </w:rPr>
      </w:pPr>
    </w:p>
    <w:p w:rsidR="00FB1B94" w:rsidRPr="009D4F06" w:rsidRDefault="009D4F06" w:rsidP="009D4F06">
      <w:pPr>
        <w:pStyle w:val="ListParagraph"/>
        <w:numPr>
          <w:ilvl w:val="0"/>
          <w:numId w:val="2"/>
        </w:numPr>
      </w:pPr>
      <w:r>
        <w:rPr>
          <w:b/>
        </w:rPr>
        <w:t>OBJECTS</w:t>
      </w:r>
    </w:p>
    <w:p w:rsidR="009D4F06" w:rsidRDefault="009D4F06" w:rsidP="009D4F06">
      <w:pPr>
        <w:pStyle w:val="ListParagraph"/>
        <w:ind w:left="767"/>
      </w:pPr>
      <w:r>
        <w:t>The object of this by-laws is to give effect to implementation of Rates Policy as contemplated in Section 6 of Municipal Property Rates Act.</w:t>
      </w:r>
    </w:p>
    <w:p w:rsidR="00017F2C" w:rsidRDefault="00017F2C" w:rsidP="009D4F06">
      <w:pPr>
        <w:pStyle w:val="ListParagraph"/>
        <w:ind w:left="767"/>
      </w:pPr>
    </w:p>
    <w:p w:rsidR="009D4F06" w:rsidRPr="00017F2C" w:rsidRDefault="00017F2C" w:rsidP="009D4F06">
      <w:pPr>
        <w:pStyle w:val="ListParagraph"/>
        <w:numPr>
          <w:ilvl w:val="0"/>
          <w:numId w:val="2"/>
        </w:numPr>
      </w:pPr>
      <w:r>
        <w:rPr>
          <w:b/>
        </w:rPr>
        <w:t>ADOPTION AND IMPLEMENTATION OF RATES POLICY</w:t>
      </w:r>
    </w:p>
    <w:p w:rsidR="00017F2C" w:rsidRPr="00017F2C" w:rsidRDefault="00017F2C" w:rsidP="00017F2C">
      <w:pPr>
        <w:pStyle w:val="ListParagraph"/>
        <w:ind w:left="767"/>
      </w:pPr>
    </w:p>
    <w:p w:rsidR="00017F2C" w:rsidRDefault="00017F2C" w:rsidP="00017F2C">
      <w:pPr>
        <w:pStyle w:val="ListParagraph"/>
        <w:numPr>
          <w:ilvl w:val="1"/>
          <w:numId w:val="2"/>
        </w:numPr>
      </w:pPr>
      <w:r>
        <w:t>The Municipality shall adopt and implement its Rates Policy consistence with the Municipal Property Rates Act on the levying of rates on rateable property within the jurisdiction of the municipality; and</w:t>
      </w:r>
    </w:p>
    <w:p w:rsidR="00017F2C" w:rsidRDefault="00017F2C" w:rsidP="00017F2C">
      <w:pPr>
        <w:pStyle w:val="ListParagraph"/>
        <w:ind w:left="1127"/>
      </w:pPr>
    </w:p>
    <w:p w:rsidR="00017F2C" w:rsidRDefault="00017F2C" w:rsidP="00017F2C">
      <w:pPr>
        <w:pStyle w:val="ListParagraph"/>
        <w:numPr>
          <w:ilvl w:val="1"/>
          <w:numId w:val="2"/>
        </w:numPr>
      </w:pPr>
      <w:r>
        <w:t>The municipality shall not be entitled to levy rates other than in terms of its Rates Policy.</w:t>
      </w:r>
    </w:p>
    <w:p w:rsidR="00017F2C" w:rsidRDefault="00017F2C" w:rsidP="00017F2C">
      <w:pPr>
        <w:pStyle w:val="ListParagraph"/>
      </w:pPr>
    </w:p>
    <w:p w:rsidR="00017F2C" w:rsidRPr="00017F2C" w:rsidRDefault="00017F2C" w:rsidP="00017F2C">
      <w:pPr>
        <w:pStyle w:val="ListParagraph"/>
        <w:numPr>
          <w:ilvl w:val="0"/>
          <w:numId w:val="2"/>
        </w:numPr>
      </w:pPr>
      <w:r>
        <w:rPr>
          <w:b/>
        </w:rPr>
        <w:t>C</w:t>
      </w:r>
      <w:r w:rsidR="00330BDC">
        <w:rPr>
          <w:b/>
        </w:rPr>
        <w:t xml:space="preserve">ONTENT </w:t>
      </w:r>
      <w:r>
        <w:rPr>
          <w:b/>
        </w:rPr>
        <w:t>OF RATE POLICY</w:t>
      </w:r>
    </w:p>
    <w:p w:rsidR="00017F2C" w:rsidRDefault="00017F2C" w:rsidP="00017F2C">
      <w:pPr>
        <w:pStyle w:val="ListParagraph"/>
        <w:ind w:left="767"/>
        <w:rPr>
          <w:rFonts w:ascii="Lucida Calligraphy" w:hAnsi="Lucida Calligraphy"/>
        </w:rPr>
      </w:pPr>
      <w:r>
        <w:t xml:space="preserve">The Rates Policy </w:t>
      </w:r>
      <w:r w:rsidR="008F6F02">
        <w:t>shall</w:t>
      </w:r>
      <w:r w:rsidR="009E22F9">
        <w:t>,</w:t>
      </w:r>
      <w:r>
        <w:t xml:space="preserve"> </w:t>
      </w:r>
      <w:r w:rsidR="009E22F9">
        <w:rPr>
          <w:rFonts w:ascii="Lucida Calligraphy" w:hAnsi="Lucida Calligraphy"/>
        </w:rPr>
        <w:t>inter alia</w:t>
      </w:r>
    </w:p>
    <w:p w:rsidR="009E22F9" w:rsidRDefault="009E22F9" w:rsidP="00017F2C">
      <w:pPr>
        <w:pStyle w:val="ListParagraph"/>
        <w:ind w:left="767"/>
        <w:rPr>
          <w:rFonts w:ascii="Lucida Calligraphy" w:hAnsi="Lucida Calligraphy"/>
        </w:rPr>
      </w:pPr>
    </w:p>
    <w:p w:rsidR="009E22F9" w:rsidRDefault="009E22F9" w:rsidP="009E22F9">
      <w:pPr>
        <w:pStyle w:val="ListParagraph"/>
        <w:numPr>
          <w:ilvl w:val="1"/>
          <w:numId w:val="2"/>
        </w:numPr>
        <w:rPr>
          <w:rFonts w:ascii="Arial" w:hAnsi="Arial" w:cs="Arial"/>
        </w:rPr>
      </w:pPr>
      <w:r>
        <w:rPr>
          <w:rFonts w:ascii="Arial" w:hAnsi="Arial" w:cs="Arial"/>
        </w:rPr>
        <w:t>Apply to all levied Municipality pursuant to the adoption of its Annual Budget;</w:t>
      </w:r>
    </w:p>
    <w:p w:rsidR="009E22F9" w:rsidRDefault="009E22F9" w:rsidP="009E22F9">
      <w:pPr>
        <w:pStyle w:val="ListParagraph"/>
        <w:numPr>
          <w:ilvl w:val="1"/>
          <w:numId w:val="2"/>
        </w:numPr>
        <w:rPr>
          <w:rFonts w:ascii="Arial" w:hAnsi="Arial" w:cs="Arial"/>
        </w:rPr>
      </w:pPr>
      <w:r>
        <w:rPr>
          <w:rFonts w:ascii="Arial" w:hAnsi="Arial" w:cs="Arial"/>
        </w:rPr>
        <w:t xml:space="preserve">Comply with the requirements for: </w:t>
      </w:r>
    </w:p>
    <w:p w:rsidR="009E22F9" w:rsidRDefault="009E22F9" w:rsidP="009E22F9">
      <w:pPr>
        <w:pStyle w:val="ListParagraph"/>
        <w:numPr>
          <w:ilvl w:val="2"/>
          <w:numId w:val="2"/>
        </w:numPr>
        <w:rPr>
          <w:rFonts w:ascii="Arial" w:hAnsi="Arial" w:cs="Arial"/>
        </w:rPr>
      </w:pPr>
      <w:r>
        <w:rPr>
          <w:rFonts w:ascii="Arial" w:hAnsi="Arial" w:cs="Arial"/>
        </w:rPr>
        <w:t>The adoption and content of rates policy specified in the section 3 of the Act;</w:t>
      </w:r>
    </w:p>
    <w:p w:rsidR="009E22F9" w:rsidRDefault="009E22F9" w:rsidP="009E22F9">
      <w:pPr>
        <w:pStyle w:val="ListParagraph"/>
        <w:numPr>
          <w:ilvl w:val="2"/>
          <w:numId w:val="2"/>
        </w:numPr>
        <w:rPr>
          <w:rFonts w:ascii="Arial" w:hAnsi="Arial" w:cs="Arial"/>
        </w:rPr>
      </w:pPr>
      <w:r>
        <w:rPr>
          <w:rFonts w:ascii="Arial" w:hAnsi="Arial" w:cs="Arial"/>
        </w:rPr>
        <w:t>The process of community participation specified in section 4 of the Act</w:t>
      </w:r>
      <w:r w:rsidR="00DF00D1">
        <w:rPr>
          <w:rFonts w:ascii="Arial" w:hAnsi="Arial" w:cs="Arial"/>
        </w:rPr>
        <w:t>; and</w:t>
      </w:r>
    </w:p>
    <w:p w:rsidR="00DF00D1" w:rsidRDefault="00DF00D1" w:rsidP="00DF00D1">
      <w:pPr>
        <w:pStyle w:val="ListParagraph"/>
        <w:numPr>
          <w:ilvl w:val="2"/>
          <w:numId w:val="2"/>
        </w:numPr>
        <w:rPr>
          <w:rFonts w:ascii="Arial" w:hAnsi="Arial" w:cs="Arial"/>
        </w:rPr>
      </w:pPr>
      <w:r>
        <w:rPr>
          <w:rFonts w:ascii="Arial" w:hAnsi="Arial" w:cs="Arial"/>
        </w:rPr>
        <w:t>The annual review of a Rates Policy specified in section 5 of the Act.</w:t>
      </w:r>
    </w:p>
    <w:p w:rsidR="00E55916" w:rsidRDefault="00E55916" w:rsidP="00E55916">
      <w:pPr>
        <w:pStyle w:val="ListParagraph"/>
        <w:ind w:left="1847"/>
        <w:rPr>
          <w:rFonts w:ascii="Arial" w:hAnsi="Arial" w:cs="Arial"/>
        </w:rPr>
      </w:pPr>
    </w:p>
    <w:p w:rsidR="00DF00D1" w:rsidRDefault="00DF00D1" w:rsidP="00DF00D1">
      <w:pPr>
        <w:pStyle w:val="ListParagraph"/>
        <w:numPr>
          <w:ilvl w:val="1"/>
          <w:numId w:val="2"/>
        </w:numPr>
        <w:rPr>
          <w:rFonts w:ascii="Arial" w:hAnsi="Arial" w:cs="Arial"/>
        </w:rPr>
      </w:pPr>
      <w:r>
        <w:rPr>
          <w:rFonts w:ascii="Arial" w:hAnsi="Arial" w:cs="Arial"/>
        </w:rPr>
        <w:lastRenderedPageBreak/>
        <w:t>Provide for principles, criteria and implementation measures that are consistent with Municipal Property Rates Act for the levying of rates</w:t>
      </w:r>
      <w:r w:rsidR="00E55916">
        <w:rPr>
          <w:rFonts w:ascii="Arial" w:hAnsi="Arial" w:cs="Arial"/>
        </w:rPr>
        <w:t xml:space="preserve"> which council may adopt.</w:t>
      </w:r>
    </w:p>
    <w:p w:rsidR="00E55916" w:rsidRDefault="00E55916" w:rsidP="00DF00D1">
      <w:pPr>
        <w:pStyle w:val="ListParagraph"/>
        <w:numPr>
          <w:ilvl w:val="1"/>
          <w:numId w:val="2"/>
        </w:numPr>
        <w:rPr>
          <w:rFonts w:ascii="Arial" w:hAnsi="Arial" w:cs="Arial"/>
        </w:rPr>
      </w:pPr>
      <w:r>
        <w:rPr>
          <w:rFonts w:ascii="Arial" w:hAnsi="Arial" w:cs="Arial"/>
        </w:rPr>
        <w:t>Provide for enforcement mechanism that are consistent with the Municipal Property Rates Act and the Local Government; Municipal System Act of 2000 (Act No. 32 of 2000).</w:t>
      </w:r>
    </w:p>
    <w:p w:rsidR="00E55916" w:rsidRPr="00E55916" w:rsidRDefault="00E55916" w:rsidP="00E55916">
      <w:pPr>
        <w:ind w:left="767"/>
        <w:rPr>
          <w:rFonts w:ascii="Arial" w:hAnsi="Arial" w:cs="Arial"/>
        </w:rPr>
      </w:pPr>
    </w:p>
    <w:p w:rsidR="00E55916" w:rsidRPr="008F6F02" w:rsidRDefault="00E55916" w:rsidP="00E55916">
      <w:pPr>
        <w:pStyle w:val="ListParagraph"/>
        <w:numPr>
          <w:ilvl w:val="0"/>
          <w:numId w:val="2"/>
        </w:numPr>
        <w:rPr>
          <w:rFonts w:ascii="Arial" w:hAnsi="Arial" w:cs="Arial"/>
        </w:rPr>
      </w:pPr>
      <w:r>
        <w:rPr>
          <w:rFonts w:ascii="Arial" w:hAnsi="Arial" w:cs="Arial"/>
          <w:b/>
        </w:rPr>
        <w:t>ENFORCEMENT OF THE RATES POLICY</w:t>
      </w:r>
    </w:p>
    <w:p w:rsidR="008F6F02" w:rsidRDefault="008F6F02" w:rsidP="008F6F02">
      <w:pPr>
        <w:pStyle w:val="ListParagraph"/>
        <w:ind w:left="767"/>
        <w:rPr>
          <w:rFonts w:ascii="Arial" w:hAnsi="Arial" w:cs="Arial"/>
        </w:rPr>
      </w:pPr>
      <w:r>
        <w:rPr>
          <w:rFonts w:ascii="Arial" w:hAnsi="Arial" w:cs="Arial"/>
        </w:rPr>
        <w:t>The municipality’s Rates Policy shall be enforced through the credit control and Debt Collection Policy and any further enforcement mechanisms stipulated in the Act and the Municipality’s Rates Policy.</w:t>
      </w:r>
    </w:p>
    <w:p w:rsidR="008F6F02" w:rsidRDefault="008F6F02" w:rsidP="008F6F02">
      <w:pPr>
        <w:pStyle w:val="ListParagraph"/>
        <w:ind w:left="767"/>
        <w:rPr>
          <w:rFonts w:ascii="Arial" w:hAnsi="Arial" w:cs="Arial"/>
        </w:rPr>
      </w:pPr>
    </w:p>
    <w:p w:rsidR="008F6F02" w:rsidRPr="008F6F02" w:rsidRDefault="008F6F02" w:rsidP="008F6F02">
      <w:pPr>
        <w:pStyle w:val="ListParagraph"/>
        <w:numPr>
          <w:ilvl w:val="0"/>
          <w:numId w:val="2"/>
        </w:numPr>
        <w:rPr>
          <w:rFonts w:ascii="Arial" w:hAnsi="Arial" w:cs="Arial"/>
        </w:rPr>
      </w:pPr>
      <w:r>
        <w:rPr>
          <w:rFonts w:ascii="Arial" w:hAnsi="Arial" w:cs="Arial"/>
          <w:b/>
        </w:rPr>
        <w:t xml:space="preserve">SHORT TITLE AND COMMENCEMENT </w:t>
      </w:r>
    </w:p>
    <w:p w:rsidR="008F6F02" w:rsidRPr="008F6F02" w:rsidRDefault="008F6F02" w:rsidP="008F6F02">
      <w:pPr>
        <w:pStyle w:val="ListParagraph"/>
        <w:ind w:left="767"/>
        <w:rPr>
          <w:rFonts w:ascii="Arial" w:hAnsi="Arial" w:cs="Arial"/>
        </w:rPr>
      </w:pPr>
      <w:r>
        <w:rPr>
          <w:rFonts w:ascii="Arial" w:hAnsi="Arial" w:cs="Arial"/>
        </w:rPr>
        <w:t>This by-law is called the Municipal Property Rates By-law,</w:t>
      </w:r>
      <w:r w:rsidR="00664F31">
        <w:rPr>
          <w:rFonts w:ascii="Arial" w:hAnsi="Arial" w:cs="Arial"/>
        </w:rPr>
        <w:t xml:space="preserve"> and takes effect on 1 July 2023</w:t>
      </w:r>
      <w:bookmarkStart w:id="0" w:name="_GoBack"/>
      <w:bookmarkEnd w:id="0"/>
    </w:p>
    <w:p w:rsidR="009E22F9" w:rsidRPr="00DF00D1" w:rsidRDefault="009E22F9" w:rsidP="00DF00D1">
      <w:pPr>
        <w:ind w:left="767"/>
        <w:rPr>
          <w:rFonts w:ascii="Arial" w:hAnsi="Arial" w:cs="Arial"/>
        </w:rPr>
      </w:pPr>
    </w:p>
    <w:p w:rsidR="009E22F9" w:rsidRDefault="009E22F9" w:rsidP="00017F2C">
      <w:pPr>
        <w:pStyle w:val="ListParagraph"/>
        <w:ind w:left="767"/>
        <w:rPr>
          <w:rFonts w:ascii="Lucida Calligraphy" w:hAnsi="Lucida Calligraphy"/>
        </w:rPr>
      </w:pPr>
    </w:p>
    <w:p w:rsidR="009E22F9" w:rsidRPr="009E22F9" w:rsidRDefault="009E22F9" w:rsidP="00017F2C">
      <w:pPr>
        <w:pStyle w:val="ListParagraph"/>
        <w:ind w:left="767"/>
        <w:rPr>
          <w:rFonts w:ascii="Lucida Calligraphy" w:hAnsi="Lucida Calligraphy"/>
        </w:rPr>
      </w:pPr>
    </w:p>
    <w:p w:rsidR="00017F2C" w:rsidRPr="00017F2C" w:rsidRDefault="00017F2C" w:rsidP="00017F2C">
      <w:pPr>
        <w:pStyle w:val="Heading2"/>
        <w:numPr>
          <w:ilvl w:val="0"/>
          <w:numId w:val="0"/>
        </w:numPr>
        <w:ind w:left="576" w:hanging="576"/>
      </w:pPr>
    </w:p>
    <w:p w:rsidR="00017F2C" w:rsidRPr="009D4F06" w:rsidRDefault="00017F2C" w:rsidP="00017F2C">
      <w:pPr>
        <w:pStyle w:val="Heading2"/>
        <w:numPr>
          <w:ilvl w:val="0"/>
          <w:numId w:val="0"/>
        </w:numPr>
        <w:ind w:left="576" w:hanging="576"/>
      </w:pPr>
    </w:p>
    <w:p w:rsidR="00B64895" w:rsidRDefault="00B64895">
      <w:r>
        <w:t xml:space="preserve">  </w:t>
      </w:r>
    </w:p>
    <w:p w:rsidR="00310EEE" w:rsidRPr="00310EEE" w:rsidRDefault="00310EEE"/>
    <w:p w:rsidR="00310EEE" w:rsidRDefault="00310EEE">
      <w:pPr>
        <w:rPr>
          <w:b/>
        </w:rPr>
      </w:pPr>
    </w:p>
    <w:p w:rsidR="00310EEE" w:rsidRPr="00310EEE" w:rsidRDefault="00310EEE">
      <w:pPr>
        <w:rPr>
          <w:b/>
        </w:rPr>
      </w:pPr>
    </w:p>
    <w:sectPr w:rsidR="00310EEE" w:rsidRPr="00310EEE">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C3040" w:rsidRDefault="007C3040" w:rsidP="00022BC7">
      <w:pPr>
        <w:spacing w:after="0" w:line="240" w:lineRule="auto"/>
      </w:pPr>
      <w:r>
        <w:separator/>
      </w:r>
    </w:p>
  </w:endnote>
  <w:endnote w:type="continuationSeparator" w:id="0">
    <w:p w:rsidR="007C3040" w:rsidRDefault="007C3040" w:rsidP="00022B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PFEO L+ Helvetica">
    <w:altName w:val="Arial"/>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BoldMT">
    <w:panose1 w:val="00000000000000000000"/>
    <w:charset w:val="00"/>
    <w:family w:val="auto"/>
    <w:notTrueType/>
    <w:pitch w:val="default"/>
    <w:sig w:usb0="00000003" w:usb1="00000000" w:usb2="00000000" w:usb3="00000000" w:csb0="00000001" w:csb1="00000000"/>
  </w:font>
  <w:font w:name="ArialMT">
    <w:panose1 w:val="00000000000000000000"/>
    <w:charset w:val="00"/>
    <w:family w:val="auto"/>
    <w:notTrueType/>
    <w:pitch w:val="default"/>
    <w:sig w:usb0="00000003" w:usb1="00000000" w:usb2="00000000" w:usb3="00000000" w:csb0="00000001" w:csb1="00000000"/>
  </w:font>
  <w:font w:name="Arial-ItalicMT">
    <w:panose1 w:val="00000000000000000000"/>
    <w:charset w:val="00"/>
    <w:family w:val="auto"/>
    <w:notTrueType/>
    <w:pitch w:val="default"/>
    <w:sig w:usb0="00000003" w:usb1="00000000" w:usb2="00000000" w:usb3="00000000" w:csb0="00000001" w:csb1="00000000"/>
  </w:font>
  <w:font w:name="Lucida Calligraphy">
    <w:panose1 w:val="03010101010101010101"/>
    <w:charset w:val="00"/>
    <w:family w:val="script"/>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C3040" w:rsidRDefault="007C3040" w:rsidP="00022BC7">
      <w:pPr>
        <w:spacing w:after="0" w:line="240" w:lineRule="auto"/>
      </w:pPr>
      <w:r>
        <w:separator/>
      </w:r>
    </w:p>
  </w:footnote>
  <w:footnote w:type="continuationSeparator" w:id="0">
    <w:p w:rsidR="007C3040" w:rsidRDefault="007C3040" w:rsidP="00022BC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463A506"/>
    <w:multiLevelType w:val="hybridMultilevel"/>
    <w:tmpl w:val="AE264D3A"/>
    <w:lvl w:ilvl="0" w:tplc="FFFFFFFF">
      <w:start w:val="1"/>
      <w:numFmt w:val="decimal"/>
      <w:lvlText w:null="1"/>
      <w:lvlJc w:val="left"/>
    </w:lvl>
    <w:lvl w:ilvl="1" w:tplc="FFFFFFFF">
      <w:start w:val="1"/>
      <w:numFmt w:val="decimal"/>
      <w:lvlText w:null="1"/>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3CC1B54"/>
    <w:multiLevelType w:val="hybridMultilevel"/>
    <w:tmpl w:val="377E6E0E"/>
    <w:lvl w:ilvl="0" w:tplc="1C09000F">
      <w:start w:val="1"/>
      <w:numFmt w:val="decimal"/>
      <w:lvlText w:val="%1."/>
      <w:lvlJc w:val="left"/>
      <w:pPr>
        <w:ind w:left="2630" w:hanging="360"/>
      </w:pPr>
    </w:lvl>
    <w:lvl w:ilvl="1" w:tplc="1C090019" w:tentative="1">
      <w:start w:val="1"/>
      <w:numFmt w:val="lowerLetter"/>
      <w:lvlText w:val="%2."/>
      <w:lvlJc w:val="left"/>
      <w:pPr>
        <w:ind w:left="3350" w:hanging="360"/>
      </w:pPr>
    </w:lvl>
    <w:lvl w:ilvl="2" w:tplc="1C09001B" w:tentative="1">
      <w:start w:val="1"/>
      <w:numFmt w:val="lowerRoman"/>
      <w:lvlText w:val="%3."/>
      <w:lvlJc w:val="right"/>
      <w:pPr>
        <w:ind w:left="4070" w:hanging="180"/>
      </w:pPr>
    </w:lvl>
    <w:lvl w:ilvl="3" w:tplc="1C09000F" w:tentative="1">
      <w:start w:val="1"/>
      <w:numFmt w:val="decimal"/>
      <w:lvlText w:val="%4."/>
      <w:lvlJc w:val="left"/>
      <w:pPr>
        <w:ind w:left="4790" w:hanging="360"/>
      </w:pPr>
    </w:lvl>
    <w:lvl w:ilvl="4" w:tplc="1C090019" w:tentative="1">
      <w:start w:val="1"/>
      <w:numFmt w:val="lowerLetter"/>
      <w:lvlText w:val="%5."/>
      <w:lvlJc w:val="left"/>
      <w:pPr>
        <w:ind w:left="5510" w:hanging="360"/>
      </w:pPr>
    </w:lvl>
    <w:lvl w:ilvl="5" w:tplc="1C09001B" w:tentative="1">
      <w:start w:val="1"/>
      <w:numFmt w:val="lowerRoman"/>
      <w:lvlText w:val="%6."/>
      <w:lvlJc w:val="right"/>
      <w:pPr>
        <w:ind w:left="6230" w:hanging="180"/>
      </w:pPr>
    </w:lvl>
    <w:lvl w:ilvl="6" w:tplc="1C09000F" w:tentative="1">
      <w:start w:val="1"/>
      <w:numFmt w:val="decimal"/>
      <w:lvlText w:val="%7."/>
      <w:lvlJc w:val="left"/>
      <w:pPr>
        <w:ind w:left="6950" w:hanging="360"/>
      </w:pPr>
    </w:lvl>
    <w:lvl w:ilvl="7" w:tplc="1C090019" w:tentative="1">
      <w:start w:val="1"/>
      <w:numFmt w:val="lowerLetter"/>
      <w:lvlText w:val="%8."/>
      <w:lvlJc w:val="left"/>
      <w:pPr>
        <w:ind w:left="7670" w:hanging="360"/>
      </w:pPr>
    </w:lvl>
    <w:lvl w:ilvl="8" w:tplc="1C09001B" w:tentative="1">
      <w:start w:val="1"/>
      <w:numFmt w:val="lowerRoman"/>
      <w:lvlText w:val="%9."/>
      <w:lvlJc w:val="right"/>
      <w:pPr>
        <w:ind w:left="8390" w:hanging="180"/>
      </w:pPr>
    </w:lvl>
  </w:abstractNum>
  <w:abstractNum w:abstractNumId="2" w15:restartNumberingAfterBreak="0">
    <w:nsid w:val="15307F7D"/>
    <w:multiLevelType w:val="hybridMultilevel"/>
    <w:tmpl w:val="4C7A7762"/>
    <w:lvl w:ilvl="0" w:tplc="1C09000F">
      <w:start w:val="1"/>
      <w:numFmt w:val="decimal"/>
      <w:lvlText w:val="%1."/>
      <w:lvlJc w:val="left"/>
      <w:pPr>
        <w:ind w:left="767" w:hanging="360"/>
      </w:pPr>
    </w:lvl>
    <w:lvl w:ilvl="1" w:tplc="1C090019" w:tentative="1">
      <w:start w:val="1"/>
      <w:numFmt w:val="lowerLetter"/>
      <w:lvlText w:val="%2."/>
      <w:lvlJc w:val="left"/>
      <w:pPr>
        <w:ind w:left="1487" w:hanging="360"/>
      </w:pPr>
    </w:lvl>
    <w:lvl w:ilvl="2" w:tplc="1C09001B" w:tentative="1">
      <w:start w:val="1"/>
      <w:numFmt w:val="lowerRoman"/>
      <w:lvlText w:val="%3."/>
      <w:lvlJc w:val="right"/>
      <w:pPr>
        <w:ind w:left="2207" w:hanging="180"/>
      </w:pPr>
    </w:lvl>
    <w:lvl w:ilvl="3" w:tplc="1C09000F" w:tentative="1">
      <w:start w:val="1"/>
      <w:numFmt w:val="decimal"/>
      <w:lvlText w:val="%4."/>
      <w:lvlJc w:val="left"/>
      <w:pPr>
        <w:ind w:left="2927" w:hanging="360"/>
      </w:pPr>
    </w:lvl>
    <w:lvl w:ilvl="4" w:tplc="1C090019" w:tentative="1">
      <w:start w:val="1"/>
      <w:numFmt w:val="lowerLetter"/>
      <w:lvlText w:val="%5."/>
      <w:lvlJc w:val="left"/>
      <w:pPr>
        <w:ind w:left="3647" w:hanging="360"/>
      </w:pPr>
    </w:lvl>
    <w:lvl w:ilvl="5" w:tplc="1C09001B" w:tentative="1">
      <w:start w:val="1"/>
      <w:numFmt w:val="lowerRoman"/>
      <w:lvlText w:val="%6."/>
      <w:lvlJc w:val="right"/>
      <w:pPr>
        <w:ind w:left="4367" w:hanging="180"/>
      </w:pPr>
    </w:lvl>
    <w:lvl w:ilvl="6" w:tplc="1C09000F" w:tentative="1">
      <w:start w:val="1"/>
      <w:numFmt w:val="decimal"/>
      <w:lvlText w:val="%7."/>
      <w:lvlJc w:val="left"/>
      <w:pPr>
        <w:ind w:left="5087" w:hanging="360"/>
      </w:pPr>
    </w:lvl>
    <w:lvl w:ilvl="7" w:tplc="1C090019" w:tentative="1">
      <w:start w:val="1"/>
      <w:numFmt w:val="lowerLetter"/>
      <w:lvlText w:val="%8."/>
      <w:lvlJc w:val="left"/>
      <w:pPr>
        <w:ind w:left="5807" w:hanging="360"/>
      </w:pPr>
    </w:lvl>
    <w:lvl w:ilvl="8" w:tplc="1C09001B" w:tentative="1">
      <w:start w:val="1"/>
      <w:numFmt w:val="lowerRoman"/>
      <w:lvlText w:val="%9."/>
      <w:lvlJc w:val="right"/>
      <w:pPr>
        <w:ind w:left="6527" w:hanging="180"/>
      </w:pPr>
    </w:lvl>
  </w:abstractNum>
  <w:abstractNum w:abstractNumId="3" w15:restartNumberingAfterBreak="0">
    <w:nsid w:val="293B756F"/>
    <w:multiLevelType w:val="hybridMultilevel"/>
    <w:tmpl w:val="DEDE9278"/>
    <w:lvl w:ilvl="0" w:tplc="3F6C75A6">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4" w15:restartNumberingAfterBreak="0">
    <w:nsid w:val="435F60CC"/>
    <w:multiLevelType w:val="multilevel"/>
    <w:tmpl w:val="2C96CAB6"/>
    <w:lvl w:ilvl="0">
      <w:start w:val="1"/>
      <w:numFmt w:val="decimal"/>
      <w:lvlText w:val="%1."/>
      <w:lvlJc w:val="left"/>
      <w:pPr>
        <w:ind w:left="767" w:hanging="360"/>
      </w:pPr>
    </w:lvl>
    <w:lvl w:ilvl="1">
      <w:start w:val="1"/>
      <w:numFmt w:val="decimal"/>
      <w:isLgl/>
      <w:lvlText w:val="%1.%2."/>
      <w:lvlJc w:val="left"/>
      <w:pPr>
        <w:ind w:left="1127" w:hanging="360"/>
      </w:pPr>
      <w:rPr>
        <w:rFonts w:hint="default"/>
      </w:rPr>
    </w:lvl>
    <w:lvl w:ilvl="2">
      <w:start w:val="1"/>
      <w:numFmt w:val="decimal"/>
      <w:isLgl/>
      <w:lvlText w:val="%1.%2.%3."/>
      <w:lvlJc w:val="left"/>
      <w:pPr>
        <w:ind w:left="1847" w:hanging="720"/>
      </w:pPr>
      <w:rPr>
        <w:rFonts w:hint="default"/>
      </w:rPr>
    </w:lvl>
    <w:lvl w:ilvl="3">
      <w:start w:val="1"/>
      <w:numFmt w:val="decimal"/>
      <w:isLgl/>
      <w:lvlText w:val="%1.%2.%3.%4."/>
      <w:lvlJc w:val="left"/>
      <w:pPr>
        <w:ind w:left="2207" w:hanging="720"/>
      </w:pPr>
      <w:rPr>
        <w:rFonts w:hint="default"/>
      </w:rPr>
    </w:lvl>
    <w:lvl w:ilvl="4">
      <w:start w:val="1"/>
      <w:numFmt w:val="decimal"/>
      <w:isLgl/>
      <w:lvlText w:val="%1.%2.%3.%4.%5."/>
      <w:lvlJc w:val="left"/>
      <w:pPr>
        <w:ind w:left="2927" w:hanging="1080"/>
      </w:pPr>
      <w:rPr>
        <w:rFonts w:hint="default"/>
      </w:rPr>
    </w:lvl>
    <w:lvl w:ilvl="5">
      <w:start w:val="1"/>
      <w:numFmt w:val="decimal"/>
      <w:isLgl/>
      <w:lvlText w:val="%1.%2.%3.%4.%5.%6."/>
      <w:lvlJc w:val="left"/>
      <w:pPr>
        <w:ind w:left="3287" w:hanging="1080"/>
      </w:pPr>
      <w:rPr>
        <w:rFonts w:hint="default"/>
      </w:rPr>
    </w:lvl>
    <w:lvl w:ilvl="6">
      <w:start w:val="1"/>
      <w:numFmt w:val="decimal"/>
      <w:isLgl/>
      <w:lvlText w:val="%1.%2.%3.%4.%5.%6.%7."/>
      <w:lvlJc w:val="left"/>
      <w:pPr>
        <w:ind w:left="4007" w:hanging="1440"/>
      </w:pPr>
      <w:rPr>
        <w:rFonts w:hint="default"/>
      </w:rPr>
    </w:lvl>
    <w:lvl w:ilvl="7">
      <w:start w:val="1"/>
      <w:numFmt w:val="decimal"/>
      <w:isLgl/>
      <w:lvlText w:val="%1.%2.%3.%4.%5.%6.%7.%8."/>
      <w:lvlJc w:val="left"/>
      <w:pPr>
        <w:ind w:left="4367" w:hanging="1440"/>
      </w:pPr>
      <w:rPr>
        <w:rFonts w:hint="default"/>
      </w:rPr>
    </w:lvl>
    <w:lvl w:ilvl="8">
      <w:start w:val="1"/>
      <w:numFmt w:val="decimal"/>
      <w:isLgl/>
      <w:lvlText w:val="%1.%2.%3.%4.%5.%6.%7.%8.%9."/>
      <w:lvlJc w:val="left"/>
      <w:pPr>
        <w:ind w:left="5087" w:hanging="1800"/>
      </w:pPr>
      <w:rPr>
        <w:rFonts w:hint="default"/>
      </w:rPr>
    </w:lvl>
  </w:abstractNum>
  <w:abstractNum w:abstractNumId="5" w15:restartNumberingAfterBreak="0">
    <w:nsid w:val="45DA0E6A"/>
    <w:multiLevelType w:val="multilevel"/>
    <w:tmpl w:val="1C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5E035247"/>
    <w:multiLevelType w:val="hybridMultilevel"/>
    <w:tmpl w:val="5200257A"/>
    <w:lvl w:ilvl="0" w:tplc="1C09000F">
      <w:start w:val="1"/>
      <w:numFmt w:val="decimal"/>
      <w:lvlText w:val="%1."/>
      <w:lvlJc w:val="left"/>
      <w:pPr>
        <w:ind w:left="1910" w:hanging="360"/>
      </w:pPr>
    </w:lvl>
    <w:lvl w:ilvl="1" w:tplc="1C090019" w:tentative="1">
      <w:start w:val="1"/>
      <w:numFmt w:val="lowerLetter"/>
      <w:lvlText w:val="%2."/>
      <w:lvlJc w:val="left"/>
      <w:pPr>
        <w:ind w:left="2630" w:hanging="360"/>
      </w:pPr>
    </w:lvl>
    <w:lvl w:ilvl="2" w:tplc="1C09001B" w:tentative="1">
      <w:start w:val="1"/>
      <w:numFmt w:val="lowerRoman"/>
      <w:lvlText w:val="%3."/>
      <w:lvlJc w:val="right"/>
      <w:pPr>
        <w:ind w:left="3350" w:hanging="180"/>
      </w:pPr>
    </w:lvl>
    <w:lvl w:ilvl="3" w:tplc="1C09000F" w:tentative="1">
      <w:start w:val="1"/>
      <w:numFmt w:val="decimal"/>
      <w:lvlText w:val="%4."/>
      <w:lvlJc w:val="left"/>
      <w:pPr>
        <w:ind w:left="4070" w:hanging="360"/>
      </w:pPr>
    </w:lvl>
    <w:lvl w:ilvl="4" w:tplc="1C090019" w:tentative="1">
      <w:start w:val="1"/>
      <w:numFmt w:val="lowerLetter"/>
      <w:lvlText w:val="%5."/>
      <w:lvlJc w:val="left"/>
      <w:pPr>
        <w:ind w:left="4790" w:hanging="360"/>
      </w:pPr>
    </w:lvl>
    <w:lvl w:ilvl="5" w:tplc="1C09001B" w:tentative="1">
      <w:start w:val="1"/>
      <w:numFmt w:val="lowerRoman"/>
      <w:lvlText w:val="%6."/>
      <w:lvlJc w:val="right"/>
      <w:pPr>
        <w:ind w:left="5510" w:hanging="180"/>
      </w:pPr>
    </w:lvl>
    <w:lvl w:ilvl="6" w:tplc="1C09000F" w:tentative="1">
      <w:start w:val="1"/>
      <w:numFmt w:val="decimal"/>
      <w:lvlText w:val="%7."/>
      <w:lvlJc w:val="left"/>
      <w:pPr>
        <w:ind w:left="6230" w:hanging="360"/>
      </w:pPr>
    </w:lvl>
    <w:lvl w:ilvl="7" w:tplc="1C090019" w:tentative="1">
      <w:start w:val="1"/>
      <w:numFmt w:val="lowerLetter"/>
      <w:lvlText w:val="%8."/>
      <w:lvlJc w:val="left"/>
      <w:pPr>
        <w:ind w:left="6950" w:hanging="360"/>
      </w:pPr>
    </w:lvl>
    <w:lvl w:ilvl="8" w:tplc="1C09001B" w:tentative="1">
      <w:start w:val="1"/>
      <w:numFmt w:val="lowerRoman"/>
      <w:lvlText w:val="%9."/>
      <w:lvlJc w:val="right"/>
      <w:pPr>
        <w:ind w:left="7670" w:hanging="180"/>
      </w:pPr>
    </w:lvl>
  </w:abstractNum>
  <w:num w:numId="1">
    <w:abstractNumId w:val="2"/>
  </w:num>
  <w:num w:numId="2">
    <w:abstractNumId w:val="4"/>
  </w:num>
  <w:num w:numId="3">
    <w:abstractNumId w:val="5"/>
  </w:num>
  <w:num w:numId="4">
    <w:abstractNumId w:val="6"/>
  </w:num>
  <w:num w:numId="5">
    <w:abstractNumId w:val="1"/>
  </w:num>
  <w:num w:numId="6">
    <w:abstractNumId w:val="0"/>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0EEE"/>
    <w:rsid w:val="00017F2C"/>
    <w:rsid w:val="00022BC7"/>
    <w:rsid w:val="00175F54"/>
    <w:rsid w:val="001B79EB"/>
    <w:rsid w:val="00310EEE"/>
    <w:rsid w:val="00311BC0"/>
    <w:rsid w:val="00330BDC"/>
    <w:rsid w:val="0039274F"/>
    <w:rsid w:val="004C7213"/>
    <w:rsid w:val="00520DD1"/>
    <w:rsid w:val="0055451B"/>
    <w:rsid w:val="005F1F43"/>
    <w:rsid w:val="00604A46"/>
    <w:rsid w:val="0064468D"/>
    <w:rsid w:val="00664F31"/>
    <w:rsid w:val="007851F4"/>
    <w:rsid w:val="007C3040"/>
    <w:rsid w:val="0082596E"/>
    <w:rsid w:val="008F6F02"/>
    <w:rsid w:val="009D4F06"/>
    <w:rsid w:val="009E22F9"/>
    <w:rsid w:val="00A003B4"/>
    <w:rsid w:val="00B64895"/>
    <w:rsid w:val="00BE685A"/>
    <w:rsid w:val="00C5236E"/>
    <w:rsid w:val="00CB18D0"/>
    <w:rsid w:val="00D55CDC"/>
    <w:rsid w:val="00DD48DF"/>
    <w:rsid w:val="00DF00D1"/>
    <w:rsid w:val="00E30E06"/>
    <w:rsid w:val="00E4627F"/>
    <w:rsid w:val="00E55916"/>
    <w:rsid w:val="00F14293"/>
    <w:rsid w:val="00F748E9"/>
    <w:rsid w:val="00F87DFB"/>
    <w:rsid w:val="00FB1B94"/>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2834C5"/>
  <w15:chartTrackingRefBased/>
  <w15:docId w15:val="{1C6E0F47-A1D8-41F2-85B3-DF7E53998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17F2C"/>
    <w:pPr>
      <w:keepNext/>
      <w:keepLines/>
      <w:numPr>
        <w:numId w:val="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17F2C"/>
    <w:pPr>
      <w:keepNext/>
      <w:keepLines/>
      <w:numPr>
        <w:ilvl w:val="1"/>
        <w:numId w:val="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017F2C"/>
    <w:pPr>
      <w:keepNext/>
      <w:keepLines/>
      <w:numPr>
        <w:ilvl w:val="2"/>
        <w:numId w:val="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017F2C"/>
    <w:pPr>
      <w:keepNext/>
      <w:keepLines/>
      <w:numPr>
        <w:ilvl w:val="3"/>
        <w:numId w:val="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017F2C"/>
    <w:pPr>
      <w:keepNext/>
      <w:keepLines/>
      <w:numPr>
        <w:ilvl w:val="4"/>
        <w:numId w:val="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017F2C"/>
    <w:pPr>
      <w:keepNext/>
      <w:keepLines/>
      <w:numPr>
        <w:ilvl w:val="5"/>
        <w:numId w:val="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017F2C"/>
    <w:pPr>
      <w:keepNext/>
      <w:keepLines/>
      <w:numPr>
        <w:ilvl w:val="6"/>
        <w:numId w:val="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17F2C"/>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17F2C"/>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22BC7"/>
    <w:pPr>
      <w:tabs>
        <w:tab w:val="center" w:pos="4513"/>
        <w:tab w:val="right" w:pos="9026"/>
      </w:tabs>
      <w:spacing w:after="0" w:line="240" w:lineRule="auto"/>
    </w:pPr>
  </w:style>
  <w:style w:type="character" w:customStyle="1" w:styleId="HeaderChar">
    <w:name w:val="Header Char"/>
    <w:basedOn w:val="DefaultParagraphFont"/>
    <w:link w:val="Header"/>
    <w:uiPriority w:val="99"/>
    <w:rsid w:val="00022BC7"/>
  </w:style>
  <w:style w:type="paragraph" w:styleId="Footer">
    <w:name w:val="footer"/>
    <w:basedOn w:val="Normal"/>
    <w:link w:val="FooterChar"/>
    <w:uiPriority w:val="99"/>
    <w:unhideWhenUsed/>
    <w:rsid w:val="00022BC7"/>
    <w:pPr>
      <w:tabs>
        <w:tab w:val="center" w:pos="4513"/>
        <w:tab w:val="right" w:pos="9026"/>
      </w:tabs>
      <w:spacing w:after="0" w:line="240" w:lineRule="auto"/>
    </w:pPr>
  </w:style>
  <w:style w:type="character" w:customStyle="1" w:styleId="FooterChar">
    <w:name w:val="Footer Char"/>
    <w:basedOn w:val="DefaultParagraphFont"/>
    <w:link w:val="Footer"/>
    <w:uiPriority w:val="99"/>
    <w:rsid w:val="00022BC7"/>
  </w:style>
  <w:style w:type="paragraph" w:styleId="ListParagraph">
    <w:name w:val="List Paragraph"/>
    <w:basedOn w:val="Normal"/>
    <w:uiPriority w:val="34"/>
    <w:qFormat/>
    <w:rsid w:val="00FB1B94"/>
    <w:pPr>
      <w:ind w:left="720"/>
      <w:contextualSpacing/>
    </w:pPr>
  </w:style>
  <w:style w:type="character" w:customStyle="1" w:styleId="Heading1Char">
    <w:name w:val="Heading 1 Char"/>
    <w:basedOn w:val="DefaultParagraphFont"/>
    <w:link w:val="Heading1"/>
    <w:uiPriority w:val="9"/>
    <w:rsid w:val="00017F2C"/>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17F2C"/>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semiHidden/>
    <w:rsid w:val="00017F2C"/>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017F2C"/>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017F2C"/>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017F2C"/>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017F2C"/>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17F2C"/>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17F2C"/>
    <w:rPr>
      <w:rFonts w:asciiTheme="majorHAnsi" w:eastAsiaTheme="majorEastAsia" w:hAnsiTheme="majorHAnsi" w:cstheme="majorBidi"/>
      <w:i/>
      <w:iCs/>
      <w:color w:val="272727" w:themeColor="text1" w:themeTint="D8"/>
      <w:sz w:val="21"/>
      <w:szCs w:val="21"/>
    </w:rPr>
  </w:style>
  <w:style w:type="paragraph" w:customStyle="1" w:styleId="Default">
    <w:name w:val="Default"/>
    <w:rsid w:val="00C5236E"/>
    <w:pPr>
      <w:widowControl w:val="0"/>
      <w:autoSpaceDE w:val="0"/>
      <w:autoSpaceDN w:val="0"/>
      <w:adjustRightInd w:val="0"/>
      <w:spacing w:after="0" w:line="240" w:lineRule="auto"/>
    </w:pPr>
    <w:rPr>
      <w:rFonts w:ascii="APFEO L+ Helvetica" w:eastAsia="Times New Roman" w:hAnsi="APFEO L+ Helvetica" w:cs="APFEO L+ Helvetica"/>
      <w:color w:val="000000"/>
      <w:sz w:val="24"/>
      <w:szCs w:val="24"/>
      <w:lang w:val="en-US"/>
    </w:rPr>
  </w:style>
  <w:style w:type="paragraph" w:customStyle="1" w:styleId="CM28">
    <w:name w:val="CM28"/>
    <w:basedOn w:val="Default"/>
    <w:next w:val="Default"/>
    <w:rsid w:val="00C5236E"/>
    <w:pPr>
      <w:spacing w:after="268"/>
    </w:pPr>
    <w:rPr>
      <w:color w:val="auto"/>
    </w:rPr>
  </w:style>
  <w:style w:type="paragraph" w:styleId="NoSpacing">
    <w:name w:val="No Spacing"/>
    <w:uiPriority w:val="1"/>
    <w:qFormat/>
    <w:rsid w:val="00C5236E"/>
    <w:pPr>
      <w:spacing w:after="0" w:line="240" w:lineRule="auto"/>
    </w:pPr>
  </w:style>
  <w:style w:type="paragraph" w:customStyle="1" w:styleId="CM27">
    <w:name w:val="CM27"/>
    <w:basedOn w:val="Default"/>
    <w:next w:val="Default"/>
    <w:rsid w:val="0039274F"/>
    <w:pPr>
      <w:spacing w:line="276" w:lineRule="atLeast"/>
    </w:pPr>
    <w:rPr>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7</Pages>
  <Words>1529</Words>
  <Characters>8717</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Tshephiso Mogashana</dc:creator>
  <cp:keywords/>
  <dc:description/>
  <cp:lastModifiedBy>Ndivhuho Tshishonga</cp:lastModifiedBy>
  <cp:revision>10</cp:revision>
  <dcterms:created xsi:type="dcterms:W3CDTF">2020-05-08T08:30:00Z</dcterms:created>
  <dcterms:modified xsi:type="dcterms:W3CDTF">2022-03-14T11:45:00Z</dcterms:modified>
</cp:coreProperties>
</file>